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2D5A" w14:textId="5E09A899" w:rsidR="00F10D01" w:rsidRDefault="00F10D01" w:rsidP="008258D1">
      <w:pPr>
        <w:widowControl w:val="0"/>
        <w:spacing w:after="0" w:line="240" w:lineRule="auto"/>
        <w:ind w:left="1440"/>
        <w:contextualSpacing/>
        <w:outlineLvl w:val="2"/>
        <w:rPr>
          <w:rFonts w:ascii="Calibri" w:eastAsia="Times New Roman" w:hAnsi="Calibri" w:cs="Times New Roman"/>
          <w:color w:val="00B050"/>
          <w:sz w:val="20"/>
          <w:szCs w:val="20"/>
        </w:rPr>
      </w:pPr>
      <w:r w:rsidRPr="00B905CB">
        <w:rPr>
          <w:rFonts w:ascii="Times New Roman" w:eastAsia="Times New Roman" w:hAnsi="Times New Roman" w:cs="Times New Roman"/>
          <w:noProof/>
          <w:snapToGrid w:val="0"/>
          <w:sz w:val="24"/>
          <w:szCs w:val="20"/>
        </w:rPr>
        <w:drawing>
          <wp:anchor distT="0" distB="0" distL="114300" distR="114300" simplePos="0" relativeHeight="251659264" behindDoc="0" locked="0" layoutInCell="1" allowOverlap="1" wp14:anchorId="1B802E6E" wp14:editId="1B802E6F">
            <wp:simplePos x="0" y="0"/>
            <wp:positionH relativeFrom="margin">
              <wp:posOffset>-297951</wp:posOffset>
            </wp:positionH>
            <wp:positionV relativeFrom="paragraph">
              <wp:posOffset>278</wp:posOffset>
            </wp:positionV>
            <wp:extent cx="1873250" cy="885825"/>
            <wp:effectExtent l="0" t="0" r="0" b="9525"/>
            <wp:wrapSquare wrapText="bothSides"/>
            <wp:docPr id="9" name="Picture 9" descr="NEW no tag ashpT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o tag ashpTM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02D5B" w14:textId="77777777" w:rsidR="00F10D01" w:rsidRDefault="00F10D01" w:rsidP="008258D1">
      <w:pPr>
        <w:widowControl w:val="0"/>
        <w:spacing w:after="0" w:line="240" w:lineRule="auto"/>
        <w:ind w:left="1440"/>
        <w:contextualSpacing/>
        <w:outlineLvl w:val="2"/>
        <w:rPr>
          <w:rFonts w:ascii="Calibri" w:eastAsia="Times New Roman" w:hAnsi="Calibri" w:cs="Times New Roman"/>
          <w:color w:val="00B050"/>
          <w:sz w:val="20"/>
          <w:szCs w:val="20"/>
        </w:rPr>
      </w:pPr>
    </w:p>
    <w:p w14:paraId="1B802D5C" w14:textId="77777777" w:rsidR="00F10D01" w:rsidRDefault="00F10D01" w:rsidP="008258D1">
      <w:pPr>
        <w:widowControl w:val="0"/>
        <w:spacing w:after="0" w:line="240" w:lineRule="auto"/>
        <w:ind w:left="1440"/>
        <w:contextualSpacing/>
        <w:outlineLvl w:val="2"/>
        <w:rPr>
          <w:rFonts w:ascii="Calibri" w:eastAsia="Times New Roman" w:hAnsi="Calibri" w:cs="Times New Roman"/>
          <w:color w:val="00B050"/>
          <w:sz w:val="20"/>
          <w:szCs w:val="20"/>
        </w:rPr>
      </w:pPr>
    </w:p>
    <w:p w14:paraId="1B802D5D" w14:textId="77777777" w:rsidR="00F10D01" w:rsidRDefault="00F10D01" w:rsidP="008258D1">
      <w:pPr>
        <w:widowControl w:val="0"/>
        <w:spacing w:after="0" w:line="240" w:lineRule="auto"/>
        <w:ind w:left="1440"/>
        <w:contextualSpacing/>
        <w:outlineLvl w:val="2"/>
        <w:rPr>
          <w:rFonts w:ascii="Calibri" w:eastAsia="Times New Roman" w:hAnsi="Calibri" w:cs="Times New Roman"/>
          <w:color w:val="00B050"/>
          <w:sz w:val="20"/>
          <w:szCs w:val="20"/>
        </w:rPr>
      </w:pPr>
    </w:p>
    <w:p w14:paraId="575E7E43" w14:textId="77777777" w:rsidR="00C86DB5" w:rsidRDefault="00C86DB5" w:rsidP="008258D1">
      <w:pPr>
        <w:widowControl w:val="0"/>
        <w:spacing w:after="0" w:line="240" w:lineRule="auto"/>
        <w:ind w:left="1440"/>
        <w:contextualSpacing/>
        <w:outlineLvl w:val="2"/>
        <w:rPr>
          <w:rFonts w:ascii="Calibri" w:eastAsia="Times New Roman" w:hAnsi="Calibri" w:cs="Times New Roman"/>
          <w:color w:val="00B050"/>
          <w:sz w:val="20"/>
          <w:szCs w:val="20"/>
        </w:rPr>
      </w:pPr>
    </w:p>
    <w:p w14:paraId="3B6129F6" w14:textId="77777777" w:rsidR="00B70F66" w:rsidRDefault="00C86DB5" w:rsidP="008258D1">
      <w:pPr>
        <w:widowControl w:val="0"/>
        <w:spacing w:after="0" w:line="240" w:lineRule="auto"/>
        <w:ind w:left="1440"/>
        <w:contextualSpacing/>
        <w:outlineLvl w:val="2"/>
        <w:rPr>
          <w:rFonts w:cs="Calibri"/>
          <w:b/>
          <w:bCs/>
          <w:color w:val="C00000"/>
          <w:sz w:val="24"/>
          <w:szCs w:val="24"/>
        </w:rPr>
      </w:pPr>
      <w:r w:rsidRPr="00C86DB5">
        <w:rPr>
          <w:rFonts w:cs="Calibri"/>
          <w:b/>
          <w:bCs/>
          <w:color w:val="C00000"/>
          <w:sz w:val="24"/>
          <w:szCs w:val="24"/>
        </w:rPr>
        <w:t>NOTE: For Multi-program surveys, please review</w:t>
      </w:r>
      <w:r w:rsidR="0023529D">
        <w:rPr>
          <w:rFonts w:cs="Calibri"/>
          <w:b/>
          <w:bCs/>
          <w:color w:val="C00000"/>
          <w:sz w:val="24"/>
          <w:szCs w:val="24"/>
        </w:rPr>
        <w:t xml:space="preserve"> the </w:t>
      </w:r>
    </w:p>
    <w:p w14:paraId="41DFB071" w14:textId="6375DB0B" w:rsidR="00C86DB5" w:rsidRPr="00C86DB5" w:rsidRDefault="00C86DB5" w:rsidP="008258D1">
      <w:pPr>
        <w:widowControl w:val="0"/>
        <w:spacing w:after="0" w:line="240" w:lineRule="auto"/>
        <w:ind w:left="1440"/>
        <w:contextualSpacing/>
        <w:outlineLvl w:val="2"/>
        <w:rPr>
          <w:rFonts w:ascii="Calibri" w:eastAsia="Times New Roman" w:hAnsi="Calibri" w:cs="Times New Roman"/>
          <w:b/>
          <w:bCs/>
          <w:color w:val="C00000"/>
          <w:sz w:val="24"/>
          <w:szCs w:val="24"/>
        </w:rPr>
      </w:pPr>
      <w:r w:rsidRPr="00C86DB5">
        <w:rPr>
          <w:rFonts w:cs="Calibri"/>
          <w:b/>
          <w:bCs/>
          <w:color w:val="C00000"/>
          <w:sz w:val="24"/>
          <w:szCs w:val="24"/>
        </w:rPr>
        <w:t xml:space="preserve">Multi-program Process in the </w:t>
      </w:r>
      <w:r w:rsidRPr="00C86DB5">
        <w:rPr>
          <w:b/>
          <w:bCs/>
          <w:color w:val="C00000"/>
          <w:sz w:val="24"/>
          <w:szCs w:val="24"/>
        </w:rPr>
        <w:t>OVERVIEW AND INSTRUCTIONS-PREPARING FOR YOUR SURVEY VISIT for further instructions on how to submit documents</w:t>
      </w:r>
    </w:p>
    <w:p w14:paraId="1B802D5E" w14:textId="77777777" w:rsidR="00F10D01" w:rsidRPr="008258D1" w:rsidRDefault="00F10D01" w:rsidP="008258D1">
      <w:pPr>
        <w:widowControl w:val="0"/>
        <w:spacing w:after="0" w:line="240" w:lineRule="auto"/>
        <w:ind w:left="1440"/>
        <w:contextualSpacing/>
        <w:outlineLvl w:val="2"/>
        <w:rPr>
          <w:rFonts w:ascii="Calibri" w:eastAsia="Times New Roman" w:hAnsi="Calibri" w:cs="Times New Roman"/>
          <w:color w:val="00B050"/>
          <w:sz w:val="20"/>
          <w:szCs w:val="20"/>
        </w:rPr>
      </w:pPr>
    </w:p>
    <w:tbl>
      <w:tblPr>
        <w:tblStyle w:val="LightList-Accent51"/>
        <w:tblW w:w="10556" w:type="dxa"/>
        <w:tblInd w:w="-604" w:type="dxa"/>
        <w:tblBorders>
          <w:bottom w:val="single" w:sz="4" w:space="0" w:color="auto"/>
          <w:insideH w:val="single" w:sz="8" w:space="0" w:color="4BACC6"/>
          <w:insideV w:val="single" w:sz="8" w:space="0" w:color="4BACC6"/>
        </w:tblBorders>
        <w:tblLayout w:type="fixed"/>
        <w:tblLook w:val="0000" w:firstRow="0" w:lastRow="0" w:firstColumn="0" w:lastColumn="0" w:noHBand="0" w:noVBand="0"/>
      </w:tblPr>
      <w:tblGrid>
        <w:gridCol w:w="2520"/>
        <w:gridCol w:w="3934"/>
        <w:gridCol w:w="18"/>
        <w:gridCol w:w="2286"/>
        <w:gridCol w:w="1798"/>
      </w:tblGrid>
      <w:tr w:rsidR="008258D1" w:rsidRPr="008258D1" w14:paraId="1B802D60"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10556" w:type="dxa"/>
            <w:gridSpan w:val="5"/>
            <w:shd w:val="clear" w:color="auto" w:fill="FFF2CC"/>
          </w:tcPr>
          <w:p w14:paraId="1B802D5F" w14:textId="77777777" w:rsidR="008258D1" w:rsidRPr="00F10D01" w:rsidRDefault="008258D1" w:rsidP="008258D1">
            <w:pPr>
              <w:autoSpaceDE w:val="0"/>
              <w:autoSpaceDN w:val="0"/>
              <w:adjustRightInd w:val="0"/>
              <w:jc w:val="center"/>
              <w:rPr>
                <w:rFonts w:cs="Calibri"/>
                <w:b/>
                <w:sz w:val="28"/>
                <w:szCs w:val="28"/>
              </w:rPr>
            </w:pPr>
            <w:bookmarkStart w:id="0" w:name="Table1TOC"/>
            <w:bookmarkStart w:id="1" w:name="_Hlk8135100"/>
            <w:r w:rsidRPr="00F10D01">
              <w:rPr>
                <w:rFonts w:cs="Calibri"/>
                <w:b/>
                <w:sz w:val="28"/>
                <w:szCs w:val="28"/>
              </w:rPr>
              <w:t>TABLE 1: REQUIRED DOCUMENTS</w:t>
            </w:r>
            <w:bookmarkEnd w:id="0"/>
          </w:p>
        </w:tc>
      </w:tr>
      <w:tr w:rsidR="008258D1" w:rsidRPr="008258D1" w14:paraId="1B802D63"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2CC"/>
          </w:tcPr>
          <w:p w14:paraId="1B802D61" w14:textId="77777777" w:rsidR="008258D1" w:rsidRPr="008258D1" w:rsidRDefault="008258D1" w:rsidP="008258D1">
            <w:pPr>
              <w:autoSpaceDE w:val="0"/>
              <w:autoSpaceDN w:val="0"/>
              <w:adjustRightInd w:val="0"/>
              <w:rPr>
                <w:rFonts w:cs="Calibri"/>
                <w:b/>
                <w:caps/>
                <w:sz w:val="20"/>
              </w:rPr>
            </w:pPr>
            <w:r w:rsidRPr="008258D1">
              <w:rPr>
                <w:rFonts w:cs="Calibri"/>
                <w:b/>
                <w:caps/>
                <w:sz w:val="20"/>
              </w:rPr>
              <w:t>Bookmark Name</w:t>
            </w:r>
          </w:p>
        </w:tc>
        <w:tc>
          <w:tcPr>
            <w:tcW w:w="8036" w:type="dxa"/>
            <w:gridSpan w:val="4"/>
            <w:shd w:val="clear" w:color="auto" w:fill="FFF2CC"/>
          </w:tcPr>
          <w:p w14:paraId="1B802D62" w14:textId="77777777" w:rsidR="008258D1" w:rsidRPr="008258D1" w:rsidRDefault="008258D1" w:rsidP="008258D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caps/>
                <w:sz w:val="20"/>
              </w:rPr>
            </w:pPr>
            <w:r w:rsidRPr="008258D1">
              <w:rPr>
                <w:rFonts w:cs="Calibri"/>
                <w:b/>
                <w:caps/>
                <w:sz w:val="20"/>
              </w:rPr>
              <w:t>Required documentS AND INSTRUCTIONS</w:t>
            </w:r>
          </w:p>
        </w:tc>
      </w:tr>
      <w:tr w:rsidR="008258D1" w:rsidRPr="0053571B" w14:paraId="1B802D66"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1B802D64" w14:textId="77777777" w:rsidR="008258D1" w:rsidRPr="0053571B" w:rsidRDefault="008258D1" w:rsidP="008258D1">
            <w:pPr>
              <w:autoSpaceDE w:val="0"/>
              <w:autoSpaceDN w:val="0"/>
              <w:adjustRightInd w:val="0"/>
              <w:rPr>
                <w:rFonts w:cs="Calibri"/>
                <w:b/>
                <w:bCs/>
                <w:sz w:val="20"/>
                <w:szCs w:val="20"/>
              </w:rPr>
            </w:pPr>
            <w:r w:rsidRPr="0053571B">
              <w:rPr>
                <w:rFonts w:cs="Calibri"/>
                <w:b/>
                <w:bCs/>
                <w:sz w:val="20"/>
                <w:szCs w:val="20"/>
              </w:rPr>
              <w:t>Document Checklist</w:t>
            </w:r>
          </w:p>
        </w:tc>
        <w:tc>
          <w:tcPr>
            <w:tcW w:w="8036" w:type="dxa"/>
            <w:gridSpan w:val="4"/>
            <w:shd w:val="clear" w:color="auto" w:fill="auto"/>
          </w:tcPr>
          <w:p w14:paraId="1B802D65" w14:textId="0E437191" w:rsidR="008258D1" w:rsidRPr="00223E4D" w:rsidRDefault="00754CDC" w:rsidP="008258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8258D1" w:rsidRPr="0053571B">
              <w:rPr>
                <w:rFonts w:cs="Calibri"/>
                <w:sz w:val="20"/>
                <w:szCs w:val="20"/>
              </w:rPr>
              <w:t xml:space="preserve">ubmit the completed </w:t>
            </w:r>
            <w:hyperlink r:id="rId11" w:history="1">
              <w:r w:rsidR="00223E4D" w:rsidRPr="00C9017E">
                <w:rPr>
                  <w:rStyle w:val="Hyperlink"/>
                  <w:rFonts w:eastAsia="Times New Roman" w:cstheme="minorHAnsi"/>
                  <w:sz w:val="20"/>
                  <w:szCs w:val="20"/>
                </w:rPr>
                <w:t>Document Checklist</w:t>
              </w:r>
            </w:hyperlink>
            <w:r w:rsidR="008258D1" w:rsidRPr="00223E4D">
              <w:rPr>
                <w:rFonts w:cs="Calibri"/>
                <w:color w:val="C00000"/>
                <w:sz w:val="20"/>
                <w:szCs w:val="20"/>
              </w:rPr>
              <w:t xml:space="preserve">. </w:t>
            </w:r>
            <w:r w:rsidR="008258D1" w:rsidRPr="00223E4D">
              <w:rPr>
                <w:rFonts w:cs="Calibri"/>
                <w:sz w:val="20"/>
                <w:szCs w:val="20"/>
              </w:rPr>
              <w:t xml:space="preserve">This should be used as your guide to ensure you have compiled all required pre-survey documents. For items that do not apply to your program, mark the item as N/A on the Checklist. </w:t>
            </w:r>
          </w:p>
        </w:tc>
      </w:tr>
      <w:tr w:rsidR="008258D1" w:rsidRPr="0053571B" w14:paraId="1B802D6D"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tcPr>
          <w:p w14:paraId="1B802D6A" w14:textId="77777777" w:rsidR="008258D1" w:rsidRPr="00223E4D" w:rsidRDefault="008258D1" w:rsidP="008258D1">
            <w:pPr>
              <w:autoSpaceDE w:val="0"/>
              <w:autoSpaceDN w:val="0"/>
              <w:adjustRightInd w:val="0"/>
              <w:rPr>
                <w:rFonts w:cs="Calibri"/>
                <w:b/>
                <w:bCs/>
                <w:sz w:val="20"/>
                <w:szCs w:val="20"/>
              </w:rPr>
            </w:pPr>
            <w:bookmarkStart w:id="2" w:name="_Hlk3813271"/>
            <w:r w:rsidRPr="00223E4D">
              <w:rPr>
                <w:rFonts w:cs="Calibri"/>
                <w:b/>
                <w:bCs/>
                <w:sz w:val="20"/>
                <w:szCs w:val="20"/>
              </w:rPr>
              <w:t>Accreditation/</w:t>
            </w:r>
          </w:p>
          <w:p w14:paraId="1B802D6B" w14:textId="77777777" w:rsidR="008258D1" w:rsidRPr="00223E4D" w:rsidRDefault="008258D1" w:rsidP="008258D1">
            <w:pPr>
              <w:autoSpaceDE w:val="0"/>
              <w:autoSpaceDN w:val="0"/>
              <w:adjustRightInd w:val="0"/>
              <w:rPr>
                <w:rFonts w:cs="Calibri"/>
                <w:b/>
                <w:bCs/>
                <w:sz w:val="20"/>
                <w:szCs w:val="20"/>
              </w:rPr>
            </w:pPr>
            <w:r w:rsidRPr="00223E4D">
              <w:rPr>
                <w:rFonts w:cs="Calibri"/>
                <w:b/>
                <w:bCs/>
                <w:sz w:val="20"/>
                <w:szCs w:val="20"/>
              </w:rPr>
              <w:t>Reaccreditation Application</w:t>
            </w:r>
          </w:p>
        </w:tc>
        <w:tc>
          <w:tcPr>
            <w:tcW w:w="8036" w:type="dxa"/>
            <w:gridSpan w:val="4"/>
          </w:tcPr>
          <w:p w14:paraId="0ABCC0F7" w14:textId="77777777" w:rsidR="00107B25" w:rsidRPr="00107B25" w:rsidRDefault="00754CDC" w:rsidP="00107B25">
            <w:pPr>
              <w:cnfStyle w:val="000000000000" w:firstRow="0" w:lastRow="0" w:firstColumn="0" w:lastColumn="0" w:oddVBand="0" w:evenVBand="0" w:oddHBand="0" w:evenHBand="0" w:firstRowFirstColumn="0" w:firstRowLastColumn="0" w:lastRowFirstColumn="0" w:lastRowLastColumn="0"/>
              <w:rPr>
                <w:rStyle w:val="Hyperlink"/>
                <w:rFonts w:eastAsia="Times New Roman" w:cstheme="minorHAnsi"/>
                <w:sz w:val="20"/>
                <w:szCs w:val="20"/>
              </w:rPr>
            </w:pPr>
            <w:r w:rsidRPr="00107B25">
              <w:rPr>
                <w:rFonts w:cs="Calibri"/>
                <w:sz w:val="20"/>
                <w:szCs w:val="20"/>
              </w:rPr>
              <w:t>S</w:t>
            </w:r>
            <w:r w:rsidR="008258D1" w:rsidRPr="00107B25">
              <w:rPr>
                <w:rFonts w:cs="Calibri"/>
                <w:sz w:val="20"/>
                <w:szCs w:val="20"/>
              </w:rPr>
              <w:t xml:space="preserve">ubmit your </w:t>
            </w:r>
            <w:hyperlink r:id="rId12" w:history="1">
              <w:hyperlink r:id="rId13">
                <w:r w:rsidR="00107B25" w:rsidRPr="00107B25">
                  <w:rPr>
                    <w:rStyle w:val="Hyperlink"/>
                    <w:rFonts w:eastAsia="Times New Roman" w:cstheme="minorHAnsi"/>
                    <w:sz w:val="20"/>
                    <w:szCs w:val="20"/>
                  </w:rPr>
                  <w:t>Accreditation/Reaccreditation Application</w:t>
                </w:r>
              </w:hyperlink>
            </w:hyperlink>
            <w:r w:rsidR="00107B25" w:rsidRPr="00107B25">
              <w:t xml:space="preserve"> (available at: </w:t>
            </w:r>
            <w:hyperlink r:id="rId14" w:history="1">
              <w:r w:rsidR="00107B25" w:rsidRPr="00107B25">
                <w:rPr>
                  <w:rStyle w:val="Hyperlink"/>
                </w:rPr>
                <w:t>Applying for Accreditation - ASHP</w:t>
              </w:r>
            </w:hyperlink>
            <w:r w:rsidR="00107B25" w:rsidRPr="00107B25">
              <w:t>)</w:t>
            </w:r>
          </w:p>
          <w:p w14:paraId="1B802D6C" w14:textId="06436C32" w:rsidR="008258D1" w:rsidRPr="00223E4D" w:rsidRDefault="008258D1" w:rsidP="008258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p>
        </w:tc>
      </w:tr>
      <w:tr w:rsidR="008258D1" w:rsidRPr="0053571B" w14:paraId="1B802D70" w14:textId="77777777" w:rsidTr="00E24ADA">
        <w:trPr>
          <w:cnfStyle w:val="000000100000" w:firstRow="0" w:lastRow="0" w:firstColumn="0" w:lastColumn="0" w:oddVBand="0" w:evenVBand="0" w:oddHBand="1" w:evenHBand="0" w:firstRowFirstColumn="0" w:firstRowLastColumn="0" w:lastRowFirstColumn="0" w:lastRowLastColumn="0"/>
          <w:trHeight w:val="1015"/>
        </w:trPr>
        <w:tc>
          <w:tcPr>
            <w:cnfStyle w:val="000010000000" w:firstRow="0" w:lastRow="0" w:firstColumn="0" w:lastColumn="0" w:oddVBand="1" w:evenVBand="0" w:oddHBand="0" w:evenHBand="0" w:firstRowFirstColumn="0" w:firstRowLastColumn="0" w:lastRowFirstColumn="0" w:lastRowLastColumn="0"/>
            <w:tcW w:w="2520" w:type="dxa"/>
          </w:tcPr>
          <w:p w14:paraId="1B802D6E" w14:textId="77777777" w:rsidR="008258D1" w:rsidRPr="00223E4D" w:rsidRDefault="008258D1" w:rsidP="008258D1">
            <w:pPr>
              <w:autoSpaceDE w:val="0"/>
              <w:autoSpaceDN w:val="0"/>
              <w:adjustRightInd w:val="0"/>
              <w:rPr>
                <w:rFonts w:cs="Calibri"/>
                <w:b/>
                <w:bCs/>
                <w:sz w:val="20"/>
                <w:szCs w:val="20"/>
              </w:rPr>
            </w:pPr>
            <w:r w:rsidRPr="00223E4D">
              <w:rPr>
                <w:rFonts w:cs="Calibri"/>
                <w:b/>
                <w:bCs/>
                <w:sz w:val="20"/>
                <w:szCs w:val="20"/>
              </w:rPr>
              <w:t>Survey Itinerary</w:t>
            </w:r>
          </w:p>
        </w:tc>
        <w:tc>
          <w:tcPr>
            <w:tcW w:w="8036" w:type="dxa"/>
            <w:gridSpan w:val="4"/>
          </w:tcPr>
          <w:p w14:paraId="1B802D6F" w14:textId="77777777" w:rsidR="008258D1" w:rsidRPr="00223E4D" w:rsidRDefault="008258D1" w:rsidP="008258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223E4D">
              <w:rPr>
                <w:rFonts w:cs="Calibri"/>
                <w:sz w:val="20"/>
                <w:szCs w:val="20"/>
              </w:rPr>
              <w:t>Please work with the lead surveyor to develop an itinerary for the survey visit. If completed by the time of submission of materials, please include it. If it is NOT completed by the submission date, note this in the Document Checklist. The final itinerary MUST be emailed to the Lead Surveyor no later than 10 days prior to the survey date.</w:t>
            </w:r>
          </w:p>
        </w:tc>
      </w:tr>
      <w:tr w:rsidR="008258D1" w:rsidRPr="0053571B" w14:paraId="1B802D72" w14:textId="77777777" w:rsidTr="00E24ADA">
        <w:trPr>
          <w:trHeight w:val="448"/>
        </w:trPr>
        <w:tc>
          <w:tcPr>
            <w:cnfStyle w:val="000010000000" w:firstRow="0" w:lastRow="0" w:firstColumn="0" w:lastColumn="0" w:oddVBand="1" w:evenVBand="0" w:oddHBand="0" w:evenHBand="0" w:firstRowFirstColumn="0" w:firstRowLastColumn="0" w:lastRowFirstColumn="0" w:lastRowLastColumn="0"/>
            <w:tcW w:w="10556" w:type="dxa"/>
            <w:gridSpan w:val="5"/>
            <w:shd w:val="clear" w:color="auto" w:fill="FFF2CC"/>
          </w:tcPr>
          <w:p w14:paraId="1B802D71" w14:textId="77777777" w:rsidR="008258D1" w:rsidRPr="00223E4D" w:rsidRDefault="008258D1" w:rsidP="008258D1">
            <w:pPr>
              <w:autoSpaceDE w:val="0"/>
              <w:autoSpaceDN w:val="0"/>
              <w:adjustRightInd w:val="0"/>
              <w:jc w:val="both"/>
              <w:rPr>
                <w:rFonts w:cs="Calibri"/>
                <w:i/>
                <w:sz w:val="20"/>
                <w:szCs w:val="20"/>
              </w:rPr>
            </w:pPr>
            <w:r w:rsidRPr="00223E4D">
              <w:rPr>
                <w:rFonts w:cs="Calibri"/>
                <w:i/>
                <w:sz w:val="20"/>
                <w:szCs w:val="20"/>
              </w:rPr>
              <w:t>Note: For each item listed below, please review the corresponding Standard and related Guidance for additional information that will help you to prepare the Required Documents.</w:t>
            </w:r>
          </w:p>
        </w:tc>
      </w:tr>
      <w:tr w:rsidR="008258D1" w:rsidRPr="0053571B" w14:paraId="1B802D75"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BDD6EE"/>
          </w:tcPr>
          <w:p w14:paraId="1B802D73" w14:textId="77777777" w:rsidR="008258D1" w:rsidRPr="00223E4D" w:rsidRDefault="008258D1" w:rsidP="008258D1">
            <w:pPr>
              <w:autoSpaceDE w:val="0"/>
              <w:autoSpaceDN w:val="0"/>
              <w:adjustRightInd w:val="0"/>
              <w:rPr>
                <w:rFonts w:cs="Calibri"/>
                <w:b/>
                <w:bCs/>
                <w:sz w:val="20"/>
                <w:szCs w:val="20"/>
              </w:rPr>
            </w:pPr>
            <w:r w:rsidRPr="00223E4D">
              <w:rPr>
                <w:rFonts w:cs="Calibri"/>
                <w:b/>
                <w:bCs/>
                <w:sz w:val="20"/>
                <w:szCs w:val="20"/>
              </w:rPr>
              <w:t xml:space="preserve">Standard 1:  </w:t>
            </w:r>
          </w:p>
        </w:tc>
        <w:tc>
          <w:tcPr>
            <w:tcW w:w="8036" w:type="dxa"/>
            <w:gridSpan w:val="4"/>
            <w:shd w:val="clear" w:color="auto" w:fill="BDD6EE"/>
          </w:tcPr>
          <w:p w14:paraId="1B802D74" w14:textId="77777777" w:rsidR="008258D1" w:rsidRPr="00223E4D" w:rsidRDefault="008258D1" w:rsidP="008258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223E4D">
              <w:rPr>
                <w:rFonts w:cs="Calibri"/>
                <w:b/>
                <w:sz w:val="20"/>
                <w:szCs w:val="20"/>
              </w:rPr>
              <w:t>Recruitment and Selection of Residents</w:t>
            </w:r>
          </w:p>
        </w:tc>
      </w:tr>
      <w:tr w:rsidR="008258D1" w:rsidRPr="0053571B" w14:paraId="1B802D79" w14:textId="77777777" w:rsidTr="00E24ADA">
        <w:trPr>
          <w:trHeight w:val="1780"/>
        </w:trPr>
        <w:tc>
          <w:tcPr>
            <w:cnfStyle w:val="000010000000" w:firstRow="0" w:lastRow="0" w:firstColumn="0" w:lastColumn="0" w:oddVBand="1" w:evenVBand="0" w:oddHBand="0" w:evenHBand="0" w:firstRowFirstColumn="0" w:firstRowLastColumn="0" w:lastRowFirstColumn="0" w:lastRowLastColumn="0"/>
            <w:tcW w:w="2520" w:type="dxa"/>
          </w:tcPr>
          <w:p w14:paraId="1B802D76" w14:textId="77777777" w:rsidR="008258D1" w:rsidRPr="00223E4D" w:rsidRDefault="008258D1" w:rsidP="008258D1">
            <w:pPr>
              <w:autoSpaceDE w:val="0"/>
              <w:autoSpaceDN w:val="0"/>
              <w:adjustRightInd w:val="0"/>
              <w:rPr>
                <w:rFonts w:cs="Calibri"/>
                <w:b/>
                <w:bCs/>
                <w:sz w:val="20"/>
                <w:szCs w:val="20"/>
              </w:rPr>
            </w:pPr>
            <w:r w:rsidRPr="00223E4D">
              <w:rPr>
                <w:rFonts w:cs="Calibri"/>
                <w:b/>
                <w:bCs/>
                <w:sz w:val="20"/>
                <w:szCs w:val="20"/>
              </w:rPr>
              <w:t xml:space="preserve">Recruitment and Selection Procedures </w:t>
            </w:r>
          </w:p>
        </w:tc>
        <w:tc>
          <w:tcPr>
            <w:tcW w:w="6238" w:type="dxa"/>
            <w:gridSpan w:val="3"/>
          </w:tcPr>
          <w:p w14:paraId="1B802D77" w14:textId="724766E7" w:rsidR="008258D1" w:rsidRPr="00223E4D" w:rsidRDefault="00754CDC" w:rsidP="008258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8258D1" w:rsidRPr="00223E4D">
              <w:rPr>
                <w:rFonts w:cs="Calibri"/>
                <w:sz w:val="20"/>
                <w:szCs w:val="20"/>
              </w:rPr>
              <w:t>ubmit the documented procedure for recruitment, evaluation, and ranking of applicants.  The documented procedure should include the process for Phase II of the Match, the process for Early Commitment for PGY2 programs (if applicable), and methods to assess applicants from pass/fail schools of pharmacy.  Additional documents in this section to include scoring criteria/rubrics for initial screening of applications, scoring of interviews, and scoring of early commit applicants</w:t>
            </w:r>
            <w:r w:rsidR="00C30096">
              <w:rPr>
                <w:rFonts w:cs="Calibri"/>
                <w:sz w:val="20"/>
                <w:szCs w:val="20"/>
              </w:rPr>
              <w:t>,</w:t>
            </w:r>
            <w:r w:rsidR="008258D1" w:rsidRPr="00223E4D">
              <w:rPr>
                <w:rFonts w:cs="Calibri"/>
                <w:sz w:val="20"/>
                <w:szCs w:val="20"/>
              </w:rPr>
              <w:t xml:space="preserve"> if applicable.</w:t>
            </w:r>
            <w:r w:rsidR="00C30096">
              <w:rPr>
                <w:rFonts w:cs="Calibri"/>
                <w:sz w:val="20"/>
                <w:szCs w:val="20"/>
              </w:rPr>
              <w:t xml:space="preserve"> Either a completed rubric or rubric template is acceptable.</w:t>
            </w:r>
            <w:r w:rsidR="008258D1" w:rsidRPr="00223E4D">
              <w:rPr>
                <w:rFonts w:cs="Calibri"/>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98" w:type="dxa"/>
          </w:tcPr>
          <w:p w14:paraId="1B802D78" w14:textId="77777777" w:rsidR="008258D1" w:rsidRPr="00223E4D" w:rsidRDefault="008258D1" w:rsidP="008258D1">
            <w:pPr>
              <w:autoSpaceDE w:val="0"/>
              <w:autoSpaceDN w:val="0"/>
              <w:adjustRightInd w:val="0"/>
              <w:jc w:val="center"/>
              <w:rPr>
                <w:rFonts w:cs="Calibri"/>
                <w:sz w:val="20"/>
                <w:szCs w:val="20"/>
              </w:rPr>
            </w:pPr>
            <w:r w:rsidRPr="00223E4D">
              <w:rPr>
                <w:rFonts w:cs="Calibri"/>
                <w:sz w:val="20"/>
                <w:szCs w:val="20"/>
              </w:rPr>
              <w:t>Standards 1.1.a -1.1.f</w:t>
            </w:r>
          </w:p>
        </w:tc>
      </w:tr>
      <w:bookmarkEnd w:id="2"/>
      <w:tr w:rsidR="008258D1" w:rsidRPr="0053571B" w14:paraId="1B802D82"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BDD6EE"/>
          </w:tcPr>
          <w:p w14:paraId="1B802D80" w14:textId="77777777" w:rsidR="008258D1" w:rsidRPr="00223E4D" w:rsidRDefault="008258D1" w:rsidP="008258D1">
            <w:pPr>
              <w:autoSpaceDE w:val="0"/>
              <w:autoSpaceDN w:val="0"/>
              <w:adjustRightInd w:val="0"/>
              <w:rPr>
                <w:rFonts w:cs="Calibri"/>
                <w:b/>
                <w:bCs/>
                <w:sz w:val="20"/>
                <w:szCs w:val="20"/>
              </w:rPr>
            </w:pPr>
            <w:r w:rsidRPr="00223E4D">
              <w:rPr>
                <w:rFonts w:cs="Calibri"/>
                <w:b/>
                <w:bCs/>
                <w:sz w:val="20"/>
                <w:szCs w:val="20"/>
              </w:rPr>
              <w:t>Standard 2:</w:t>
            </w:r>
          </w:p>
        </w:tc>
        <w:tc>
          <w:tcPr>
            <w:tcW w:w="8036" w:type="dxa"/>
            <w:gridSpan w:val="4"/>
            <w:shd w:val="clear" w:color="auto" w:fill="BDD6EE"/>
          </w:tcPr>
          <w:p w14:paraId="1B802D81" w14:textId="77777777" w:rsidR="008258D1" w:rsidRPr="00223E4D" w:rsidRDefault="008258D1" w:rsidP="008258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223E4D">
              <w:rPr>
                <w:rFonts w:cs="Calibri"/>
                <w:b/>
                <w:sz w:val="20"/>
                <w:szCs w:val="20"/>
              </w:rPr>
              <w:t>Program Requirements and Policies</w:t>
            </w:r>
          </w:p>
        </w:tc>
      </w:tr>
      <w:tr w:rsidR="00CD2195" w:rsidRPr="0053571B" w14:paraId="40377C51" w14:textId="77777777" w:rsidTr="00CD2195">
        <w:trPr>
          <w:trHeight w:val="1060"/>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57BD6DFC"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Non-traditional Program Structure</w:t>
            </w:r>
          </w:p>
          <w:p w14:paraId="6D9D68E9" w14:textId="77777777" w:rsidR="00AC0C7F" w:rsidRPr="00223E4D" w:rsidRDefault="00AC0C7F" w:rsidP="00AC0C7F">
            <w:pPr>
              <w:autoSpaceDE w:val="0"/>
              <w:autoSpaceDN w:val="0"/>
              <w:adjustRightInd w:val="0"/>
              <w:rPr>
                <w:rFonts w:cs="Calibri"/>
                <w:b/>
                <w:bCs/>
                <w:sz w:val="20"/>
                <w:szCs w:val="20"/>
              </w:rPr>
            </w:pPr>
          </w:p>
        </w:tc>
        <w:tc>
          <w:tcPr>
            <w:tcW w:w="6238" w:type="dxa"/>
            <w:gridSpan w:val="3"/>
            <w:shd w:val="clear" w:color="auto" w:fill="FFFFFF"/>
          </w:tcPr>
          <w:p w14:paraId="1931491F" w14:textId="0EE7C73A" w:rsidR="00AC0C7F" w:rsidRPr="002D60C8" w:rsidRDefault="00AC0C7F"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color w:val="C00000"/>
                <w:sz w:val="20"/>
                <w:szCs w:val="20"/>
              </w:rPr>
            </w:pPr>
            <w:r w:rsidRPr="00DA7468">
              <w:rPr>
                <w:rFonts w:cs="Calibri"/>
                <w:sz w:val="20"/>
                <w:szCs w:val="20"/>
              </w:rPr>
              <w:t xml:space="preserve">If the residency is non-traditional or includes a non-traditional track,  submit the documented non-traditional program structure and overall program </w:t>
            </w:r>
            <w:r>
              <w:rPr>
                <w:rFonts w:cs="Calibri"/>
                <w:sz w:val="20"/>
                <w:szCs w:val="20"/>
              </w:rPr>
              <w:t>duration</w:t>
            </w:r>
            <w:r w:rsidRPr="00DA7468">
              <w:rPr>
                <w:rFonts w:cs="Calibri"/>
                <w:sz w:val="20"/>
                <w:szCs w:val="20"/>
              </w:rPr>
              <w:t>; submission should include an example of a non-traditional resident’s schedule.</w:t>
            </w:r>
            <w:r w:rsidRPr="00DA7468" w:rsidDel="00875897">
              <w:rPr>
                <w:rFonts w:cs="Calibri"/>
                <w:sz w:val="20"/>
                <w:szCs w:val="20"/>
              </w:rPr>
              <w:t xml:space="preserve"> </w:t>
            </w:r>
            <w:r w:rsidRPr="00302C28">
              <w:rPr>
                <w:rFonts w:cs="Calibri"/>
                <w:sz w:val="20"/>
                <w:szCs w:val="20"/>
              </w:rPr>
              <w:t xml:space="preserve"> If this does</w:t>
            </w:r>
            <w:r w:rsidRPr="00213BF8">
              <w:rPr>
                <w:rFonts w:cs="Calibri"/>
                <w:sz w:val="20"/>
                <w:szCs w:val="20"/>
              </w:rPr>
              <w:t xml:space="preserve"> not apply to the program, please mark this as N/A in the </w:t>
            </w:r>
            <w:hyperlink r:id="rId15" w:history="1">
              <w:r w:rsidR="00933A57" w:rsidRPr="00C9017E">
                <w:rPr>
                  <w:rStyle w:val="Hyperlink"/>
                  <w:rFonts w:eastAsia="Times New Roman" w:cstheme="minorHAnsi"/>
                  <w:sz w:val="20"/>
                  <w:szCs w:val="20"/>
                </w:rPr>
                <w:t>Document Checklist</w:t>
              </w:r>
            </w:hyperlink>
          </w:p>
          <w:p w14:paraId="4ACE94A7" w14:textId="77777777" w:rsidR="00AC0C7F" w:rsidRPr="00223E4D" w:rsidRDefault="00AC0C7F"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7229949F" w14:textId="12CEE54F" w:rsidR="00AC0C7F" w:rsidRPr="00DA7468" w:rsidRDefault="00AC0C7F" w:rsidP="00AC0C7F">
            <w:pPr>
              <w:autoSpaceDE w:val="0"/>
              <w:autoSpaceDN w:val="0"/>
              <w:adjustRightInd w:val="0"/>
              <w:jc w:val="center"/>
              <w:rPr>
                <w:rFonts w:cs="Calibri"/>
                <w:sz w:val="20"/>
                <w:szCs w:val="20"/>
              </w:rPr>
            </w:pPr>
            <w:r w:rsidRPr="00DA7468">
              <w:rPr>
                <w:rFonts w:cs="Calibri"/>
                <w:sz w:val="20"/>
                <w:szCs w:val="20"/>
              </w:rPr>
              <w:t>Standard 2.1</w:t>
            </w:r>
          </w:p>
        </w:tc>
      </w:tr>
      <w:tr w:rsidR="00AC0C7F" w:rsidRPr="0053571B" w14:paraId="1B802D86" w14:textId="77777777" w:rsidTr="00E24ADA">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83"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Leave Policies</w:t>
            </w:r>
          </w:p>
        </w:tc>
        <w:tc>
          <w:tcPr>
            <w:tcW w:w="6238" w:type="dxa"/>
            <w:gridSpan w:val="3"/>
            <w:shd w:val="clear" w:color="auto" w:fill="FFFFFF"/>
          </w:tcPr>
          <w:p w14:paraId="1B802D84" w14:textId="2327F811" w:rsidR="00AC0C7F" w:rsidRPr="00DA7468"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223E4D">
              <w:rPr>
                <w:rFonts w:cs="Calibri"/>
                <w:sz w:val="20"/>
                <w:szCs w:val="20"/>
              </w:rPr>
              <w:t xml:space="preserve">ubmit the program’s leave policies to include the amount of vacation, sick, and professional time allowed by the program. Policies should </w:t>
            </w:r>
            <w:r w:rsidR="00AC0C7F" w:rsidRPr="00DA7468">
              <w:rPr>
                <w:rFonts w:cs="Calibri"/>
                <w:sz w:val="20"/>
                <w:szCs w:val="20"/>
              </w:rPr>
              <w:t xml:space="preserve">also address extended leave, maximum </w:t>
            </w:r>
            <w:r w:rsidR="00AC0C7F">
              <w:rPr>
                <w:rFonts w:cs="Calibri"/>
                <w:sz w:val="20"/>
                <w:szCs w:val="20"/>
              </w:rPr>
              <w:t>duration</w:t>
            </w:r>
            <w:r w:rsidR="00AC0C7F" w:rsidRPr="00DA7468">
              <w:rPr>
                <w:rFonts w:cs="Calibri"/>
                <w:sz w:val="20"/>
                <w:szCs w:val="20"/>
              </w:rPr>
              <w:t xml:space="preserve"> of extensions allowed by the program including whether extensions are paid or unpaid, and the status of benefits during extensions.</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85" w14:textId="77777777" w:rsidR="00AC0C7F" w:rsidRPr="00965246" w:rsidRDefault="00AC0C7F" w:rsidP="00AC0C7F">
            <w:pPr>
              <w:autoSpaceDE w:val="0"/>
              <w:autoSpaceDN w:val="0"/>
              <w:adjustRightInd w:val="0"/>
              <w:jc w:val="center"/>
              <w:rPr>
                <w:rFonts w:cs="Calibri"/>
                <w:sz w:val="20"/>
                <w:szCs w:val="20"/>
              </w:rPr>
            </w:pPr>
            <w:r w:rsidRPr="00DA7468">
              <w:rPr>
                <w:rFonts w:cs="Calibri"/>
                <w:sz w:val="20"/>
                <w:szCs w:val="20"/>
              </w:rPr>
              <w:t>Standards 2.2, 2.2.a, 2.2.a.1, 2.2.b, 2.2.b.1, and 2.2.b.2</w:t>
            </w:r>
          </w:p>
        </w:tc>
      </w:tr>
      <w:tr w:rsidR="00AC0C7F" w:rsidRPr="0053571B" w14:paraId="1B802D90" w14:textId="77777777" w:rsidTr="00E24ADA">
        <w:trPr>
          <w:trHeight w:val="1069"/>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8D"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lastRenderedPageBreak/>
              <w:t>Duty-Hour, Moonlighting, and On-call (if applicable) Policies</w:t>
            </w:r>
          </w:p>
        </w:tc>
        <w:tc>
          <w:tcPr>
            <w:tcW w:w="6238" w:type="dxa"/>
            <w:gridSpan w:val="3"/>
            <w:shd w:val="clear" w:color="auto" w:fill="FFFFFF"/>
          </w:tcPr>
          <w:p w14:paraId="7332FB26" w14:textId="2A5D045A" w:rsidR="00AC0C7F" w:rsidRDefault="00754CDC"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ubmit the duty-hour, moonlighting, and on-call (if applicable) policies, including a description of how duty-hours are documented and monitored. Policy should include actions taken to address non-compliance with policies or if resident</w:t>
            </w:r>
            <w:r w:rsidR="00306C51">
              <w:rPr>
                <w:rFonts w:cs="Calibri"/>
                <w:sz w:val="20"/>
                <w:szCs w:val="20"/>
              </w:rPr>
              <w:t xml:space="preserve"> </w:t>
            </w:r>
            <w:r w:rsidR="00AC0C7F" w:rsidRPr="00DA7468">
              <w:rPr>
                <w:rFonts w:cs="Calibri"/>
                <w:sz w:val="20"/>
                <w:szCs w:val="20"/>
              </w:rPr>
              <w:t xml:space="preserve">moonlighting impacts their performance. The maximum number of moonlighting hours allowed should be defined.  </w:t>
            </w:r>
          </w:p>
          <w:p w14:paraId="10E7CEEE" w14:textId="77777777" w:rsidR="00AC0C7F" w:rsidRDefault="00AC0C7F"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p>
          <w:p w14:paraId="1B802D8E" w14:textId="5E76B25D" w:rsidR="00AC0C7F" w:rsidRPr="00DA7468" w:rsidRDefault="00AC0C7F" w:rsidP="00933A5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345E8A">
              <w:rPr>
                <w:rFonts w:cs="Calibri"/>
                <w:sz w:val="20"/>
                <w:szCs w:val="20"/>
              </w:rPr>
              <w:t>If not using P</w:t>
            </w:r>
            <w:r>
              <w:rPr>
                <w:rFonts w:cs="Calibri"/>
                <w:sz w:val="20"/>
                <w:szCs w:val="20"/>
              </w:rPr>
              <w:t>harmAcademic™</w:t>
            </w:r>
            <w:r w:rsidRPr="00345E8A">
              <w:rPr>
                <w:rFonts w:cs="Calibri"/>
                <w:sz w:val="20"/>
                <w:szCs w:val="20"/>
              </w:rPr>
              <w:t xml:space="preserve"> attestations, please submit examples of how duty hours, moonlighting, on-call, etc. is tracked (submit evidence - not just a description in the policy)</w:t>
            </w:r>
            <w:r>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8F"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Standards 2.3.a, 2.3.b, 2.3.b.1, 2.3.b.2, 2.3.c, and 2.3.d</w:t>
            </w:r>
          </w:p>
        </w:tc>
      </w:tr>
      <w:tr w:rsidR="00AC0C7F" w:rsidRPr="0053571B" w14:paraId="1B802D94" w14:textId="77777777" w:rsidTr="00E24ADA">
        <w:trPr>
          <w:cnfStyle w:val="000000100000" w:firstRow="0" w:lastRow="0" w:firstColumn="0" w:lastColumn="0" w:oddVBand="0" w:evenVBand="0" w:oddHBand="1" w:evenHBand="0" w:firstRowFirstColumn="0" w:firstRowLastColumn="0" w:lastRowFirstColumn="0" w:lastRowLastColumn="0"/>
          <w:trHeight w:val="1051"/>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91"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Requirements for Licensure</w:t>
            </w:r>
          </w:p>
        </w:tc>
        <w:tc>
          <w:tcPr>
            <w:tcW w:w="6238" w:type="dxa"/>
            <w:gridSpan w:val="3"/>
            <w:shd w:val="clear" w:color="auto" w:fill="FFFFFF"/>
          </w:tcPr>
          <w:p w14:paraId="1B802D92" w14:textId="777D4CB0" w:rsidR="00AC0C7F" w:rsidRPr="00965246"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ubmit the licensure policy which includes the date by which residents must be licensed. The policy should also include information about how  the program will be modified if the resident is not licensed within 120 days of the start of the program (e.g., extension or dismissal) and terms of extensions if allowed (e.g., suspension, status of pay and benefits).</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93"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Standards 2.4 a and 2.4.b</w:t>
            </w:r>
          </w:p>
        </w:tc>
      </w:tr>
      <w:tr w:rsidR="00AC0C7F" w:rsidRPr="0053571B" w14:paraId="1B802D9A"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95"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Program Completion Requirements</w:t>
            </w:r>
          </w:p>
        </w:tc>
        <w:tc>
          <w:tcPr>
            <w:tcW w:w="6238" w:type="dxa"/>
            <w:gridSpan w:val="3"/>
            <w:shd w:val="clear" w:color="auto" w:fill="FFFFFF"/>
          </w:tcPr>
          <w:p w14:paraId="1B802D96" w14:textId="46C12FA9" w:rsidR="00AC0C7F" w:rsidRPr="00DA7468" w:rsidRDefault="00754CDC"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the documented requirements for completion of the program, which includes requirements for achievement of educational objectives, </w:t>
            </w:r>
            <w:r w:rsidR="00A40E65">
              <w:rPr>
                <w:rFonts w:cs="Calibri"/>
                <w:sz w:val="20"/>
                <w:szCs w:val="20"/>
              </w:rPr>
              <w:t xml:space="preserve">list of </w:t>
            </w:r>
            <w:r w:rsidR="00AC0C7F" w:rsidRPr="00DA7468">
              <w:rPr>
                <w:rFonts w:cs="Calibri"/>
                <w:sz w:val="20"/>
                <w:szCs w:val="20"/>
              </w:rPr>
              <w:t>required deliverables associated with educational objectives, completion of Appendices to Competency Areas, Goals, and Objectives</w:t>
            </w:r>
            <w:r w:rsidR="00A40E65">
              <w:rPr>
                <w:rFonts w:cs="Calibri"/>
                <w:sz w:val="20"/>
                <w:szCs w:val="20"/>
              </w:rPr>
              <w:t xml:space="preserve"> (CAGOs),</w:t>
            </w:r>
            <w:r w:rsidR="00AC0C7F" w:rsidRPr="00DA7468">
              <w:rPr>
                <w:rFonts w:cs="Calibri"/>
                <w:sz w:val="20"/>
                <w:szCs w:val="20"/>
              </w:rPr>
              <w:t xml:space="preserve"> if applicable, and any other program-specific requirements as defined by the organization. </w:t>
            </w:r>
          </w:p>
          <w:p w14:paraId="1B802D97" w14:textId="77777777" w:rsidR="00AC0C7F" w:rsidRPr="00965246"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p>
          <w:p w14:paraId="1B802D98" w14:textId="6C9337B8" w:rsidR="00AC0C7F" w:rsidRPr="00223E4D"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i/>
                <w:sz w:val="20"/>
                <w:szCs w:val="20"/>
              </w:rPr>
            </w:pPr>
            <w:r w:rsidRPr="00965246">
              <w:rPr>
                <w:rFonts w:cs="Calibri"/>
                <w:i/>
                <w:sz w:val="20"/>
                <w:szCs w:val="20"/>
              </w:rPr>
              <w:t xml:space="preserve">Note: Required deliverables associated with educational objectives are different for each type of residency program. Programs must determine which deliverables will be included as a completion requirement for their program. </w:t>
            </w:r>
            <w:r w:rsidR="00A40E65">
              <w:rPr>
                <w:rFonts w:cs="Calibri"/>
                <w:i/>
                <w:sz w:val="20"/>
                <w:szCs w:val="20"/>
              </w:rPr>
              <w:t xml:space="preserve">PGY1 programs-See PGY1 harmonized CAGOs. PGY2 programs: </w:t>
            </w:r>
            <w:r w:rsidRPr="00965246">
              <w:rPr>
                <w:rFonts w:cs="Calibri"/>
                <w:i/>
                <w:sz w:val="20"/>
                <w:szCs w:val="20"/>
              </w:rPr>
              <w:t xml:space="preserve">See the Glossary in the </w:t>
            </w:r>
            <w:bookmarkStart w:id="3" w:name="_Hlk177060300"/>
            <w:r>
              <w:rPr>
                <w:rFonts w:cstheme="minorBidi"/>
              </w:rPr>
              <w:fldChar w:fldCharType="begin"/>
            </w:r>
            <w:r>
              <w:rPr>
                <w:rFonts w:cstheme="minorBidi"/>
              </w:rPr>
              <w:instrText>HYPERLINK "https://www.ashp.org/-/media/assets/professional-development/residencies/docs/examples/ASHP-Accreditation-Standard-for-Postgraduate-Residency-Programs.pdf"</w:instrText>
            </w:r>
            <w:r>
              <w:rPr>
                <w:rFonts w:cstheme="minorBidi"/>
              </w:rPr>
              <w:fldChar w:fldCharType="separate"/>
            </w:r>
            <w:r w:rsidRPr="00965246">
              <w:rPr>
                <w:rFonts w:cs="Calibri"/>
                <w:i/>
                <w:color w:val="0563C1"/>
                <w:sz w:val="20"/>
                <w:szCs w:val="20"/>
                <w:u w:val="single"/>
              </w:rPr>
              <w:t>2023 Accreditation Standard</w:t>
            </w:r>
            <w:r>
              <w:rPr>
                <w:rFonts w:cs="Calibri"/>
                <w:i/>
                <w:color w:val="0563C1"/>
                <w:sz w:val="20"/>
                <w:szCs w:val="20"/>
                <w:u w:val="single"/>
              </w:rPr>
              <w:fldChar w:fldCharType="end"/>
            </w:r>
            <w:bookmarkEnd w:id="3"/>
            <w:r w:rsidRPr="00223E4D">
              <w:rPr>
                <w:rFonts w:cs="Calibri"/>
                <w:i/>
                <w:sz w:val="20"/>
                <w:szCs w:val="20"/>
              </w:rPr>
              <w:t xml:space="preserve"> for examples.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99" w14:textId="77777777" w:rsidR="00AC0C7F" w:rsidRPr="00DA7468" w:rsidRDefault="00AC0C7F" w:rsidP="00AC0C7F">
            <w:pPr>
              <w:autoSpaceDE w:val="0"/>
              <w:autoSpaceDN w:val="0"/>
              <w:adjustRightInd w:val="0"/>
              <w:jc w:val="center"/>
              <w:rPr>
                <w:rFonts w:cs="Calibri"/>
                <w:sz w:val="20"/>
                <w:szCs w:val="20"/>
              </w:rPr>
            </w:pPr>
            <w:r w:rsidRPr="00DA7468">
              <w:rPr>
                <w:rFonts w:cs="Calibri"/>
                <w:sz w:val="20"/>
                <w:szCs w:val="20"/>
              </w:rPr>
              <w:t>Standard 2.5.a, 2.5.a.1, 2.5.b, 2.5.c, and 2.5.d</w:t>
            </w:r>
          </w:p>
        </w:tc>
      </w:tr>
      <w:tr w:rsidR="00AC0C7F" w:rsidRPr="0053571B" w14:paraId="1B802D9E"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9B"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 xml:space="preserve">Remediation / Disciplinary Policy </w:t>
            </w:r>
          </w:p>
        </w:tc>
        <w:tc>
          <w:tcPr>
            <w:tcW w:w="6238" w:type="dxa"/>
            <w:gridSpan w:val="3"/>
            <w:shd w:val="clear" w:color="auto" w:fill="FFFFFF"/>
          </w:tcPr>
          <w:p w14:paraId="1B802D9C" w14:textId="3EBB6CBD" w:rsidR="00AC0C7F" w:rsidRPr="00DA7468"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the remediation/disciplinary policy for the residency program (if separate from the Human Resources policy), which includes actions that will be taken for residents who fail to progress (as defined by the program) and any resident-specific behaviors that trigger the organization’s disciplinary process. The policy should also include actions that may result in dismissal from the program.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9D"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 2.6</w:t>
            </w:r>
          </w:p>
        </w:tc>
      </w:tr>
      <w:tr w:rsidR="00AC0C7F" w:rsidRPr="0053571B" w14:paraId="1B802DA2"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9F"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Procedures for Verifying Completion of PGY1 program (PGY2 Programs Only)</w:t>
            </w:r>
          </w:p>
        </w:tc>
        <w:tc>
          <w:tcPr>
            <w:tcW w:w="6238" w:type="dxa"/>
            <w:gridSpan w:val="3"/>
            <w:shd w:val="clear" w:color="auto" w:fill="FFFFFF"/>
          </w:tcPr>
          <w:p w14:paraId="1B802DA0" w14:textId="4B5946FA" w:rsidR="00AC0C7F" w:rsidRPr="00DA7468" w:rsidRDefault="00754CDC"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the documented procedure for verifying residents’ completion of their ASHP-accredited PGY1 program.  Procedure to include the timeframe for verification and consequences for residents not completing the PGY1 program.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A1" w14:textId="77777777" w:rsidR="00AC0C7F" w:rsidRPr="00213BF8" w:rsidRDefault="00AC0C7F" w:rsidP="00AC0C7F">
            <w:pPr>
              <w:autoSpaceDE w:val="0"/>
              <w:autoSpaceDN w:val="0"/>
              <w:adjustRightInd w:val="0"/>
              <w:jc w:val="center"/>
              <w:rPr>
                <w:rFonts w:cs="Calibri"/>
                <w:sz w:val="20"/>
                <w:szCs w:val="20"/>
              </w:rPr>
            </w:pPr>
            <w:r w:rsidRPr="00DA7468">
              <w:rPr>
                <w:rFonts w:cs="Calibri"/>
                <w:sz w:val="20"/>
                <w:szCs w:val="20"/>
              </w:rPr>
              <w:t>Standards 2.7 and 2.7a</w:t>
            </w:r>
          </w:p>
        </w:tc>
      </w:tr>
      <w:tr w:rsidR="00AC0C7F" w:rsidRPr="0053571B" w14:paraId="1B802DA6"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A3"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Information and Policies Provided to Applicants Invited to Interview</w:t>
            </w:r>
          </w:p>
        </w:tc>
        <w:tc>
          <w:tcPr>
            <w:tcW w:w="6238" w:type="dxa"/>
            <w:gridSpan w:val="3"/>
            <w:shd w:val="clear" w:color="auto" w:fill="FFFFFF"/>
          </w:tcPr>
          <w:p w14:paraId="1B802DA4" w14:textId="7B4888E9" w:rsidR="00AC0C7F" w:rsidRPr="000C1C7C"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ubmit an example of the invitation to interview</w:t>
            </w:r>
            <w:r>
              <w:rPr>
                <w:rFonts w:cs="Calibri"/>
                <w:sz w:val="20"/>
                <w:szCs w:val="20"/>
              </w:rPr>
              <w:t xml:space="preserve"> </w:t>
            </w:r>
            <w:r w:rsidR="00A40E65">
              <w:rPr>
                <w:rFonts w:cs="Calibri"/>
                <w:sz w:val="20"/>
                <w:szCs w:val="20"/>
              </w:rPr>
              <w:t>(including</w:t>
            </w:r>
            <w:r w:rsidR="00AC0C7F" w:rsidRPr="00DA7468">
              <w:rPr>
                <w:rFonts w:cs="Calibri"/>
                <w:sz w:val="20"/>
                <w:szCs w:val="20"/>
              </w:rPr>
              <w:t xml:space="preserve"> information provided to applicants at the time the invitation to interview is extended</w:t>
            </w:r>
            <w:r w:rsidR="00A40E65">
              <w:rPr>
                <w:rFonts w:cs="Calibri"/>
                <w:sz w:val="20"/>
                <w:szCs w:val="20"/>
              </w:rPr>
              <w:t>)</w:t>
            </w:r>
            <w:r w:rsidR="00AC0C7F" w:rsidRPr="00DA7468">
              <w:rPr>
                <w:rFonts w:cs="Calibri"/>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A5"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Standards 2.8.a – 2.8.h</w:t>
            </w:r>
          </w:p>
        </w:tc>
      </w:tr>
      <w:tr w:rsidR="00AC0C7F" w:rsidRPr="0053571B" w14:paraId="1B802DAA" w14:textId="77777777" w:rsidTr="008124D9">
        <w:trPr>
          <w:trHeight w:val="871"/>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A7"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Documentation of acceptance of the Match</w:t>
            </w:r>
          </w:p>
        </w:tc>
        <w:tc>
          <w:tcPr>
            <w:tcW w:w="6238" w:type="dxa"/>
            <w:gridSpan w:val="3"/>
            <w:shd w:val="clear" w:color="auto" w:fill="FFFFFF"/>
          </w:tcPr>
          <w:p w14:paraId="1B802DA8" w14:textId="728C1139" w:rsidR="00AC0C7F" w:rsidRPr="00223E4D" w:rsidRDefault="00754CDC"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at least one </w:t>
            </w:r>
            <w:r w:rsidR="00AC0C7F">
              <w:rPr>
                <w:rFonts w:cs="Calibri"/>
                <w:sz w:val="20"/>
                <w:szCs w:val="20"/>
              </w:rPr>
              <w:t xml:space="preserve">(1) </w:t>
            </w:r>
            <w:r w:rsidR="00AC0C7F" w:rsidRPr="00DA7468">
              <w:rPr>
                <w:rFonts w:cs="Calibri"/>
                <w:sz w:val="20"/>
                <w:szCs w:val="20"/>
              </w:rPr>
              <w:t xml:space="preserve">example of the communication to Matched resident(s) and documentation of their acceptance of the Match results prior to the start of the program.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A9" w14:textId="77777777" w:rsidR="00AC0C7F" w:rsidRPr="00DA7468" w:rsidRDefault="00AC0C7F" w:rsidP="00AC0C7F">
            <w:pPr>
              <w:autoSpaceDE w:val="0"/>
              <w:autoSpaceDN w:val="0"/>
              <w:adjustRightInd w:val="0"/>
              <w:jc w:val="center"/>
              <w:rPr>
                <w:rFonts w:cs="Calibri"/>
                <w:sz w:val="20"/>
                <w:szCs w:val="20"/>
              </w:rPr>
            </w:pPr>
            <w:r w:rsidRPr="00DA7468">
              <w:rPr>
                <w:rFonts w:cs="Calibri"/>
                <w:sz w:val="20"/>
                <w:szCs w:val="20"/>
              </w:rPr>
              <w:t xml:space="preserve">Standards 2.9, 2.9.a, 2.9.b, </w:t>
            </w:r>
          </w:p>
        </w:tc>
      </w:tr>
      <w:tr w:rsidR="00AC0C7F" w:rsidRPr="0053571B" w14:paraId="1B802DAE" w14:textId="77777777" w:rsidTr="00E24ADA">
        <w:trPr>
          <w:cnfStyle w:val="000000100000" w:firstRow="0" w:lastRow="0" w:firstColumn="0" w:lastColumn="0" w:oddVBand="0" w:evenVBand="0" w:oddHBand="1" w:evenHBand="0" w:firstRowFirstColumn="0" w:firstRowLastColumn="0" w:lastRowFirstColumn="0" w:lastRowLastColumn="0"/>
          <w:trHeight w:val="1069"/>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1B802DAB"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Documentation of review and acceptance of program policies</w:t>
            </w:r>
          </w:p>
        </w:tc>
        <w:tc>
          <w:tcPr>
            <w:tcW w:w="6238" w:type="dxa"/>
            <w:gridSpan w:val="3"/>
            <w:shd w:val="clear" w:color="auto" w:fill="auto"/>
          </w:tcPr>
          <w:p w14:paraId="1B802DAC" w14:textId="73F67777" w:rsidR="00AC0C7F" w:rsidRPr="00DA7468"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If not already available in PharmAcademic™, </w:t>
            </w:r>
            <w:r w:rsidR="00AC0C7F" w:rsidRPr="00DA7468">
              <w:rPr>
                <w:rFonts w:cs="Calibri"/>
                <w:sz w:val="20"/>
                <w:szCs w:val="20"/>
              </w:rPr>
              <w:t>submit an example of the signed and dated acknowledgement of review and acceptance of program policies by the resident</w:t>
            </w:r>
            <w:r>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auto"/>
          </w:tcPr>
          <w:p w14:paraId="1B802DAD" w14:textId="77777777" w:rsidR="00AC0C7F" w:rsidRPr="00302C28" w:rsidRDefault="00AC0C7F" w:rsidP="00AC0C7F">
            <w:pPr>
              <w:autoSpaceDE w:val="0"/>
              <w:autoSpaceDN w:val="0"/>
              <w:adjustRightInd w:val="0"/>
              <w:jc w:val="center"/>
              <w:rPr>
                <w:rFonts w:cs="Calibri"/>
                <w:sz w:val="20"/>
                <w:szCs w:val="20"/>
              </w:rPr>
            </w:pPr>
            <w:r w:rsidRPr="00DA7468">
              <w:rPr>
                <w:rFonts w:cs="Calibri"/>
                <w:sz w:val="20"/>
                <w:szCs w:val="20"/>
              </w:rPr>
              <w:t>Standard 2.10</w:t>
            </w:r>
          </w:p>
        </w:tc>
      </w:tr>
      <w:tr w:rsidR="00AC0C7F" w:rsidRPr="0053571B" w14:paraId="1B802DB2" w14:textId="77777777" w:rsidTr="008124D9">
        <w:trPr>
          <w:trHeight w:val="79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AF"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 xml:space="preserve">Residency Manual </w:t>
            </w:r>
          </w:p>
        </w:tc>
        <w:tc>
          <w:tcPr>
            <w:tcW w:w="6238" w:type="dxa"/>
            <w:gridSpan w:val="3"/>
            <w:shd w:val="clear" w:color="auto" w:fill="FFFFFF"/>
          </w:tcPr>
          <w:p w14:paraId="1B802DB0" w14:textId="3BB89C3B" w:rsidR="00AC0C7F" w:rsidRPr="00FE4F69" w:rsidRDefault="00754CDC"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If not already available in PharmAcademic™, s</w:t>
            </w:r>
            <w:r w:rsidR="00AC0C7F" w:rsidRPr="00DA7468">
              <w:rPr>
                <w:rFonts w:cs="Calibri"/>
                <w:sz w:val="20"/>
                <w:szCs w:val="20"/>
              </w:rPr>
              <w:t>ubmit the residency program manual</w:t>
            </w:r>
            <w:r>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B1" w14:textId="77777777" w:rsidR="00AC0C7F" w:rsidRPr="006075DD" w:rsidRDefault="00AC0C7F" w:rsidP="00AC0C7F">
            <w:pPr>
              <w:autoSpaceDE w:val="0"/>
              <w:autoSpaceDN w:val="0"/>
              <w:adjustRightInd w:val="0"/>
              <w:jc w:val="center"/>
              <w:rPr>
                <w:rFonts w:cs="Calibri"/>
                <w:sz w:val="20"/>
                <w:szCs w:val="20"/>
              </w:rPr>
            </w:pPr>
            <w:r w:rsidRPr="006075DD">
              <w:rPr>
                <w:rFonts w:cs="Calibri"/>
                <w:sz w:val="20"/>
                <w:szCs w:val="20"/>
              </w:rPr>
              <w:t>Standard 2.11</w:t>
            </w:r>
          </w:p>
        </w:tc>
      </w:tr>
      <w:tr w:rsidR="00AC0C7F" w:rsidRPr="0053571B" w14:paraId="1B802DB6" w14:textId="77777777" w:rsidTr="00E24ADA">
        <w:trPr>
          <w:cnfStyle w:val="000000100000" w:firstRow="0" w:lastRow="0" w:firstColumn="0" w:lastColumn="0" w:oddVBand="0" w:evenVBand="0" w:oddHBand="1" w:evenHBand="0" w:firstRowFirstColumn="0" w:firstRowLastColumn="0" w:lastRowFirstColumn="0" w:lastRowLastColumn="0"/>
          <w:trHeight w:val="1033"/>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B3"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lastRenderedPageBreak/>
              <w:t xml:space="preserve">Documentation of Residents’ Completion of Program Requirements  </w:t>
            </w:r>
          </w:p>
        </w:tc>
        <w:tc>
          <w:tcPr>
            <w:tcW w:w="6238" w:type="dxa"/>
            <w:gridSpan w:val="3"/>
            <w:shd w:val="clear" w:color="auto" w:fill="FFFFFF"/>
          </w:tcPr>
          <w:p w14:paraId="1B802DB4" w14:textId="455DE504" w:rsidR="00AC0C7F" w:rsidRPr="00213BF8" w:rsidRDefault="00754CDC"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color w:val="C00000"/>
                <w:sz w:val="20"/>
                <w:szCs w:val="20"/>
              </w:rPr>
            </w:pPr>
            <w:r>
              <w:rPr>
                <w:rFonts w:cs="Calibri"/>
                <w:sz w:val="20"/>
                <w:szCs w:val="20"/>
              </w:rPr>
              <w:t>If not already available in PharmAcademic™, s</w:t>
            </w:r>
            <w:r w:rsidRPr="00DA7468">
              <w:rPr>
                <w:rFonts w:cs="Calibri"/>
                <w:sz w:val="20"/>
                <w:szCs w:val="20"/>
              </w:rPr>
              <w:t>ubmit</w:t>
            </w:r>
            <w:r w:rsidR="00AC0C7F" w:rsidRPr="00DA7468">
              <w:rPr>
                <w:rFonts w:cs="Calibri"/>
                <w:sz w:val="20"/>
                <w:szCs w:val="20"/>
              </w:rPr>
              <w:t xml:space="preserve"> </w:t>
            </w:r>
            <w:r w:rsidR="00AC0C7F" w:rsidRPr="00DA7468">
              <w:rPr>
                <w:rFonts w:cs="Calibri"/>
                <w:sz w:val="20"/>
                <w:szCs w:val="20"/>
                <w:u w:val="single"/>
              </w:rPr>
              <w:t>documentation</w:t>
            </w:r>
            <w:r w:rsidR="00AC0C7F" w:rsidRPr="00DA7468">
              <w:rPr>
                <w:rFonts w:cs="Calibri"/>
                <w:sz w:val="20"/>
                <w:szCs w:val="20"/>
              </w:rPr>
              <w:t xml:space="preserve"> of resident(s)’ completion of program requirements for the last </w:t>
            </w:r>
            <w:r w:rsidR="00AC0C7F">
              <w:rPr>
                <w:rFonts w:cs="Calibri"/>
                <w:sz w:val="20"/>
                <w:szCs w:val="20"/>
              </w:rPr>
              <w:t>two (</w:t>
            </w:r>
            <w:r w:rsidR="00AC0C7F" w:rsidRPr="00DA7468">
              <w:rPr>
                <w:rFonts w:cs="Calibri"/>
                <w:sz w:val="20"/>
                <w:szCs w:val="20"/>
              </w:rPr>
              <w:t>2</w:t>
            </w:r>
            <w:r w:rsidR="00AC0C7F">
              <w:rPr>
                <w:rFonts w:cs="Calibri"/>
                <w:sz w:val="20"/>
                <w:szCs w:val="20"/>
              </w:rPr>
              <w:t>)</w:t>
            </w:r>
            <w:r w:rsidR="00AC0C7F" w:rsidRPr="00DA7468">
              <w:rPr>
                <w:rFonts w:cs="Calibri"/>
                <w:sz w:val="20"/>
                <w:szCs w:val="20"/>
              </w:rPr>
              <w:t xml:space="preserve"> residency years</w:t>
            </w:r>
            <w:r w:rsidR="00AC0C7F">
              <w:rPr>
                <w:rFonts w:cs="Calibri"/>
                <w:sz w:val="20"/>
                <w:szCs w:val="20"/>
              </w:rPr>
              <w:t xml:space="preserve"> (e.g., dated checklist of completion requirements)</w:t>
            </w:r>
            <w:r w:rsidR="00AC0C7F" w:rsidRPr="00DA7468">
              <w:rPr>
                <w:rFonts w:cs="Calibri"/>
                <w:sz w:val="20"/>
                <w:szCs w:val="20"/>
              </w:rPr>
              <w:t>. For programs who have not yet completed their first year, submit documentation of items completed by the current resident through the due date for the pre-survey materials.</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B5" w14:textId="77777777" w:rsidR="00AC0C7F" w:rsidRPr="006075DD" w:rsidRDefault="00AC0C7F" w:rsidP="00AC0C7F">
            <w:pPr>
              <w:autoSpaceDE w:val="0"/>
              <w:autoSpaceDN w:val="0"/>
              <w:adjustRightInd w:val="0"/>
              <w:jc w:val="center"/>
              <w:rPr>
                <w:rFonts w:cs="Calibri"/>
                <w:sz w:val="20"/>
                <w:szCs w:val="20"/>
              </w:rPr>
            </w:pPr>
            <w:r w:rsidRPr="006075DD">
              <w:rPr>
                <w:rFonts w:cs="Calibri"/>
                <w:sz w:val="20"/>
                <w:szCs w:val="20"/>
              </w:rPr>
              <w:t>Standard 2.13.a</w:t>
            </w:r>
          </w:p>
        </w:tc>
      </w:tr>
      <w:tr w:rsidR="00AC0C7F" w:rsidRPr="0053571B" w14:paraId="1B802DC4"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BD"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 xml:space="preserve">Residency Certificate </w:t>
            </w:r>
          </w:p>
        </w:tc>
        <w:tc>
          <w:tcPr>
            <w:tcW w:w="6238" w:type="dxa"/>
            <w:gridSpan w:val="3"/>
            <w:shd w:val="clear" w:color="auto" w:fill="FFFFFF"/>
          </w:tcPr>
          <w:p w14:paraId="337AD3F0" w14:textId="0176D1EA" w:rsidR="001D3A9D" w:rsidRDefault="0004166F" w:rsidP="00C868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D2195">
              <w:rPr>
                <w:sz w:val="20"/>
                <w:szCs w:val="20"/>
              </w:rPr>
              <w:t>The survey team will review the certificate</w:t>
            </w:r>
            <w:r w:rsidR="007D10EC" w:rsidRPr="00CD2195">
              <w:rPr>
                <w:sz w:val="20"/>
                <w:szCs w:val="20"/>
              </w:rPr>
              <w:t>s</w:t>
            </w:r>
            <w:r w:rsidR="002A2F12">
              <w:rPr>
                <w:sz w:val="20"/>
                <w:szCs w:val="20"/>
              </w:rPr>
              <w:t xml:space="preserve"> of completion</w:t>
            </w:r>
            <w:r w:rsidRPr="00CD2195">
              <w:rPr>
                <w:sz w:val="20"/>
                <w:szCs w:val="20"/>
              </w:rPr>
              <w:t xml:space="preserve"> in PharmAcademic</w:t>
            </w:r>
            <w:r w:rsidR="008C2070" w:rsidRPr="00CD2195">
              <w:rPr>
                <w:rFonts w:cs="Calibri"/>
                <w:sz w:val="20"/>
                <w:szCs w:val="20"/>
              </w:rPr>
              <w:t>™</w:t>
            </w:r>
            <w:r w:rsidRPr="00CD2195">
              <w:rPr>
                <w:sz w:val="20"/>
                <w:szCs w:val="20"/>
              </w:rPr>
              <w:t xml:space="preserve"> for residents who have successf</w:t>
            </w:r>
            <w:r w:rsidR="00631B17" w:rsidRPr="00CD2195">
              <w:rPr>
                <w:sz w:val="20"/>
                <w:szCs w:val="20"/>
              </w:rPr>
              <w:t xml:space="preserve">ully </w:t>
            </w:r>
            <w:r w:rsidRPr="00CD2195">
              <w:rPr>
                <w:sz w:val="20"/>
                <w:szCs w:val="20"/>
              </w:rPr>
              <w:t>completed the program.  </w:t>
            </w:r>
          </w:p>
          <w:p w14:paraId="686D7825" w14:textId="77777777" w:rsidR="001D3A9D" w:rsidRDefault="001D3A9D" w:rsidP="00C868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p>
          <w:p w14:paraId="5805D7AB" w14:textId="77777777" w:rsidR="001D3A9D" w:rsidRDefault="0004166F" w:rsidP="00C868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D2195">
              <w:rPr>
                <w:sz w:val="20"/>
                <w:szCs w:val="20"/>
              </w:rPr>
              <w:t>For programs that have not</w:t>
            </w:r>
            <w:r w:rsidR="00482B1E" w:rsidRPr="00CD2195">
              <w:rPr>
                <w:sz w:val="20"/>
                <w:szCs w:val="20"/>
              </w:rPr>
              <w:t xml:space="preserve"> had a</w:t>
            </w:r>
            <w:r w:rsidRPr="00CD2195">
              <w:rPr>
                <w:sz w:val="20"/>
                <w:szCs w:val="20"/>
              </w:rPr>
              <w:t xml:space="preserve"> resident</w:t>
            </w:r>
            <w:r w:rsidR="00482B1E" w:rsidRPr="00CD2195">
              <w:rPr>
                <w:sz w:val="20"/>
                <w:szCs w:val="20"/>
              </w:rPr>
              <w:t xml:space="preserve"> complete the program</w:t>
            </w:r>
            <w:r w:rsidRPr="00CD2195">
              <w:rPr>
                <w:sz w:val="20"/>
                <w:szCs w:val="20"/>
              </w:rPr>
              <w:t>, submit copies of the certificates (both Candidate and Accredited versions) that will be awarded to residents who successfully complete the program.  </w:t>
            </w:r>
          </w:p>
          <w:p w14:paraId="3F991E04" w14:textId="77777777" w:rsidR="001D3A9D" w:rsidRDefault="001D3A9D" w:rsidP="00C868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p>
          <w:p w14:paraId="1B802DBE" w14:textId="7F226729" w:rsidR="0004166F" w:rsidRPr="00C8684A" w:rsidRDefault="0004166F" w:rsidP="00C868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CD2195">
              <w:rPr>
                <w:sz w:val="20"/>
                <w:szCs w:val="20"/>
              </w:rPr>
              <w:t>For programs undergoing initial accreditation who have</w:t>
            </w:r>
            <w:r w:rsidR="0089735A">
              <w:rPr>
                <w:sz w:val="20"/>
                <w:szCs w:val="20"/>
              </w:rPr>
              <w:t xml:space="preserve"> had</w:t>
            </w:r>
            <w:r w:rsidRPr="00CD2195">
              <w:rPr>
                <w:sz w:val="20"/>
                <w:szCs w:val="20"/>
              </w:rPr>
              <w:t xml:space="preserve"> at least one resident</w:t>
            </w:r>
            <w:r w:rsidR="005C00FD" w:rsidRPr="00CD2195">
              <w:rPr>
                <w:sz w:val="20"/>
                <w:szCs w:val="20"/>
              </w:rPr>
              <w:t xml:space="preserve"> </w:t>
            </w:r>
            <w:r w:rsidR="006B0AF8" w:rsidRPr="00CD2195">
              <w:rPr>
                <w:sz w:val="20"/>
                <w:szCs w:val="20"/>
              </w:rPr>
              <w:t xml:space="preserve">successfully </w:t>
            </w:r>
            <w:r w:rsidRPr="00CD2195">
              <w:rPr>
                <w:sz w:val="20"/>
                <w:szCs w:val="20"/>
              </w:rPr>
              <w:t xml:space="preserve">complete the program, submit </w:t>
            </w:r>
            <w:r w:rsidR="008C2070" w:rsidRPr="00CD2195">
              <w:rPr>
                <w:sz w:val="20"/>
                <w:szCs w:val="20"/>
              </w:rPr>
              <w:t xml:space="preserve">draft </w:t>
            </w:r>
            <w:r w:rsidRPr="00CD2195">
              <w:rPr>
                <w:sz w:val="20"/>
                <w:szCs w:val="20"/>
              </w:rPr>
              <w:t>copy of accredited</w:t>
            </w:r>
            <w:r w:rsidR="008C2070" w:rsidRPr="00CD2195">
              <w:rPr>
                <w:sz w:val="20"/>
                <w:szCs w:val="20"/>
              </w:rPr>
              <w:t>-</w:t>
            </w:r>
            <w:r w:rsidRPr="00CD2195">
              <w:rPr>
                <w:sz w:val="20"/>
                <w:szCs w:val="20"/>
              </w:rPr>
              <w:t>status certificate.</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BF" w14:textId="77777777" w:rsidR="00AC0C7F" w:rsidRPr="00D7784F" w:rsidRDefault="00AC0C7F" w:rsidP="00AC0C7F">
            <w:pPr>
              <w:autoSpaceDE w:val="0"/>
              <w:autoSpaceDN w:val="0"/>
              <w:adjustRightInd w:val="0"/>
              <w:jc w:val="center"/>
              <w:rPr>
                <w:rFonts w:cs="Calibri"/>
                <w:sz w:val="20"/>
                <w:szCs w:val="20"/>
              </w:rPr>
            </w:pPr>
            <w:r w:rsidRPr="00D7784F">
              <w:rPr>
                <w:rFonts w:cs="Calibri"/>
                <w:sz w:val="20"/>
                <w:szCs w:val="20"/>
              </w:rPr>
              <w:t>Standards  2.14, 2.14.a, 2.14.b.1 – 2.14.b.4</w:t>
            </w:r>
          </w:p>
          <w:p w14:paraId="1B802DC0"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 xml:space="preserve"> </w:t>
            </w:r>
          </w:p>
          <w:p w14:paraId="1B802DC1"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 xml:space="preserve">Additional requirement for PGY1 Managed Care programs : 2.14.c </w:t>
            </w:r>
          </w:p>
          <w:p w14:paraId="1B802DC2" w14:textId="77777777" w:rsidR="00AC0C7F" w:rsidRPr="00965246" w:rsidRDefault="00AC0C7F" w:rsidP="00AC0C7F">
            <w:pPr>
              <w:autoSpaceDE w:val="0"/>
              <w:autoSpaceDN w:val="0"/>
              <w:adjustRightInd w:val="0"/>
              <w:jc w:val="center"/>
              <w:rPr>
                <w:rFonts w:cs="Calibri"/>
                <w:sz w:val="20"/>
                <w:szCs w:val="20"/>
              </w:rPr>
            </w:pPr>
          </w:p>
          <w:p w14:paraId="1B802DC3"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 xml:space="preserve">Additional requirement for PGY1 Community-based programs – 2.14.d  </w:t>
            </w:r>
          </w:p>
        </w:tc>
      </w:tr>
      <w:tr w:rsidR="00AC0C7F" w:rsidRPr="0053571B" w14:paraId="1B802DD1" w14:textId="77777777" w:rsidTr="00E24ADA">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FFFFFF"/>
          </w:tcPr>
          <w:p w14:paraId="1B802DC5"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Multi-organization Agreement</w:t>
            </w:r>
          </w:p>
        </w:tc>
        <w:tc>
          <w:tcPr>
            <w:tcW w:w="6238" w:type="dxa"/>
            <w:gridSpan w:val="3"/>
            <w:shd w:val="clear" w:color="auto" w:fill="FFFFFF"/>
          </w:tcPr>
          <w:p w14:paraId="1B802DC6" w14:textId="56F4AFD9" w:rsidR="00AC0C7F" w:rsidRPr="006075DD" w:rsidRDefault="00AC0C7F" w:rsidP="00AC0C7F">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DA7468">
              <w:rPr>
                <w:rFonts w:cs="Calibri"/>
                <w:sz w:val="20"/>
                <w:szCs w:val="20"/>
              </w:rPr>
              <w:t xml:space="preserve">If the program shares responsibility for financial and/or management aspects of the residency program, submit the signed agreement between organizations that defines responsibilities for all aspects of the residency program to include: designation of a single RPD; RPD’s responsibilities and accountability to the Program Operator; a mechanism to empower the RPD to achieve consensus on evaluation and ranking of applicants; a mechanism for designating site coordinators; a method for coordinating the conduct of the program within all organizations; and, a method of evaluation to ensure the terms of the agreement are met. </w:t>
            </w:r>
          </w:p>
          <w:p w14:paraId="1B802DC7" w14:textId="77777777" w:rsidR="00AC0C7F" w:rsidRPr="00D7784F" w:rsidRDefault="00AC0C7F" w:rsidP="00AC0C7F">
            <w:pPr>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B802DCA" w14:textId="77777777" w:rsidR="00AC0C7F" w:rsidRPr="00965246" w:rsidRDefault="00AC0C7F" w:rsidP="00AC0C7F">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965246">
              <w:rPr>
                <w:rFonts w:cs="Calibri"/>
                <w:sz w:val="20"/>
                <w:szCs w:val="20"/>
              </w:rPr>
              <w:t xml:space="preserve">Do </w:t>
            </w:r>
            <w:r w:rsidRPr="00965246">
              <w:rPr>
                <w:rFonts w:cs="Calibri"/>
                <w:sz w:val="20"/>
                <w:szCs w:val="20"/>
                <w:u w:val="single"/>
              </w:rPr>
              <w:t>not</w:t>
            </w:r>
            <w:r w:rsidRPr="004D4855">
              <w:rPr>
                <w:rFonts w:cs="Calibri"/>
                <w:sz w:val="20"/>
                <w:szCs w:val="20"/>
              </w:rPr>
              <w:t xml:space="preserve"> provide affiliation agreements or contracts for pharmacy student rotations. </w:t>
            </w:r>
          </w:p>
          <w:p w14:paraId="1B802DCB" w14:textId="77777777" w:rsidR="00AC0C7F" w:rsidRPr="00965246" w:rsidRDefault="00AC0C7F" w:rsidP="00AC0C7F">
            <w:pPr>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B802DCD" w14:textId="733E09DE" w:rsidR="008124D9" w:rsidRPr="00965246" w:rsidRDefault="00AC0C7F" w:rsidP="008124D9">
            <w:pPr>
              <w:cnfStyle w:val="000000100000" w:firstRow="0" w:lastRow="0" w:firstColumn="0" w:lastColumn="0" w:oddVBand="0" w:evenVBand="0" w:oddHBand="1" w:evenHBand="0" w:firstRowFirstColumn="0" w:firstRowLastColumn="0" w:lastRowFirstColumn="0" w:lastRowLastColumn="0"/>
              <w:rPr>
                <w:rFonts w:cs="Calibri"/>
                <w:sz w:val="20"/>
                <w:szCs w:val="20"/>
              </w:rPr>
            </w:pPr>
            <w:r w:rsidRPr="00965246">
              <w:rPr>
                <w:rFonts w:cs="Calibri"/>
                <w:sz w:val="20"/>
                <w:szCs w:val="20"/>
              </w:rPr>
              <w:t xml:space="preserve">If this does not apply to the program, please mark this item as N/A on the Document Checklist </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CE"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Standards 2.16.a, 2.16.a.1 – 2.16.a.7</w:t>
            </w:r>
          </w:p>
          <w:p w14:paraId="1B802DCF" w14:textId="77777777" w:rsidR="00AC0C7F" w:rsidRPr="00965246" w:rsidRDefault="00AC0C7F" w:rsidP="00AC0C7F">
            <w:pPr>
              <w:autoSpaceDE w:val="0"/>
              <w:autoSpaceDN w:val="0"/>
              <w:adjustRightInd w:val="0"/>
              <w:jc w:val="center"/>
              <w:rPr>
                <w:rFonts w:cs="Calibri"/>
                <w:sz w:val="20"/>
                <w:szCs w:val="20"/>
              </w:rPr>
            </w:pPr>
          </w:p>
          <w:p w14:paraId="1B802DD0" w14:textId="77777777" w:rsidR="00AC0C7F" w:rsidRPr="00965246" w:rsidRDefault="00AC0C7F" w:rsidP="00AC0C7F">
            <w:pPr>
              <w:autoSpaceDE w:val="0"/>
              <w:autoSpaceDN w:val="0"/>
              <w:adjustRightInd w:val="0"/>
              <w:jc w:val="center"/>
              <w:rPr>
                <w:rFonts w:cs="Calibri"/>
                <w:sz w:val="20"/>
                <w:szCs w:val="20"/>
              </w:rPr>
            </w:pPr>
          </w:p>
        </w:tc>
      </w:tr>
      <w:tr w:rsidR="00AC0C7F" w:rsidRPr="0053571B" w14:paraId="1B802DD4"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C6D9F1"/>
          </w:tcPr>
          <w:p w14:paraId="1B802DD2"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Standard 3:</w:t>
            </w:r>
          </w:p>
        </w:tc>
        <w:tc>
          <w:tcPr>
            <w:tcW w:w="8036" w:type="dxa"/>
            <w:gridSpan w:val="4"/>
            <w:shd w:val="clear" w:color="auto" w:fill="C6D9F1"/>
          </w:tcPr>
          <w:p w14:paraId="1B802DD3" w14:textId="77777777" w:rsidR="00AC0C7F" w:rsidRPr="00DA7468"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DA7468">
              <w:rPr>
                <w:rFonts w:cs="Calibri"/>
                <w:b/>
                <w:sz w:val="20"/>
                <w:szCs w:val="20"/>
              </w:rPr>
              <w:t>Structure, Design, and Conduct of the Residency Program</w:t>
            </w:r>
          </w:p>
        </w:tc>
      </w:tr>
      <w:tr w:rsidR="00AC0C7F" w:rsidRPr="0053571B" w14:paraId="1B802DDC" w14:textId="77777777" w:rsidTr="008124D9">
        <w:trPr>
          <w:cnfStyle w:val="000000100000" w:firstRow="0" w:lastRow="0" w:firstColumn="0" w:lastColumn="0" w:oddVBand="0" w:evenVBand="0" w:oddHBand="1" w:evenHBand="0" w:firstRowFirstColumn="0" w:firstRowLastColumn="0" w:lastRowFirstColumn="0" w:lastRowLastColumn="0"/>
          <w:trHeight w:val="2860"/>
        </w:trPr>
        <w:tc>
          <w:tcPr>
            <w:cnfStyle w:val="000010000000" w:firstRow="0" w:lastRow="0" w:firstColumn="0" w:lastColumn="0" w:oddVBand="1" w:evenVBand="0" w:oddHBand="0" w:evenHBand="0" w:firstRowFirstColumn="0" w:firstRowLastColumn="0" w:lastRowFirstColumn="0" w:lastRowLastColumn="0"/>
            <w:tcW w:w="2520" w:type="dxa"/>
          </w:tcPr>
          <w:p w14:paraId="1B802DD5" w14:textId="77777777" w:rsidR="00AC0C7F" w:rsidRPr="00DA7468" w:rsidRDefault="00AC0C7F" w:rsidP="00AC0C7F">
            <w:pPr>
              <w:autoSpaceDE w:val="0"/>
              <w:autoSpaceDN w:val="0"/>
              <w:adjustRightInd w:val="0"/>
              <w:rPr>
                <w:rFonts w:cs="Calibri"/>
                <w:b/>
                <w:bCs/>
                <w:sz w:val="20"/>
                <w:szCs w:val="20"/>
              </w:rPr>
            </w:pPr>
            <w:r w:rsidRPr="00223E4D">
              <w:rPr>
                <w:rFonts w:cs="Calibri"/>
                <w:b/>
                <w:bCs/>
                <w:sz w:val="20"/>
                <w:szCs w:val="20"/>
              </w:rPr>
              <w:t xml:space="preserve">Program Structure </w:t>
            </w:r>
            <w:r w:rsidRPr="00223E4D" w:rsidDel="006960E6">
              <w:rPr>
                <w:rFonts w:cs="Calibri"/>
                <w:b/>
                <w:bCs/>
                <w:sz w:val="20"/>
                <w:szCs w:val="20"/>
              </w:rPr>
              <w:t xml:space="preserve"> </w:t>
            </w:r>
            <w:r w:rsidRPr="00DA7468">
              <w:rPr>
                <w:rFonts w:cs="Calibri"/>
                <w:b/>
                <w:bCs/>
                <w:sz w:val="20"/>
                <w:szCs w:val="20"/>
              </w:rPr>
              <w:t xml:space="preserve"> </w:t>
            </w:r>
          </w:p>
          <w:p w14:paraId="1B802DD6" w14:textId="77777777" w:rsidR="00AC0C7F" w:rsidRPr="00302C28" w:rsidRDefault="00AC0C7F" w:rsidP="00AC0C7F">
            <w:pPr>
              <w:autoSpaceDE w:val="0"/>
              <w:autoSpaceDN w:val="0"/>
              <w:adjustRightInd w:val="0"/>
              <w:rPr>
                <w:rFonts w:cs="Calibri"/>
                <w:b/>
                <w:bCs/>
                <w:sz w:val="20"/>
                <w:szCs w:val="20"/>
              </w:rPr>
            </w:pPr>
          </w:p>
          <w:p w14:paraId="1B802DD7" w14:textId="77777777" w:rsidR="00AC0C7F" w:rsidRPr="006075DD" w:rsidRDefault="00AC0C7F" w:rsidP="00AC0C7F">
            <w:pPr>
              <w:autoSpaceDE w:val="0"/>
              <w:autoSpaceDN w:val="0"/>
              <w:adjustRightInd w:val="0"/>
              <w:rPr>
                <w:rFonts w:cs="Calibri"/>
                <w:sz w:val="20"/>
                <w:szCs w:val="20"/>
              </w:rPr>
            </w:pPr>
          </w:p>
        </w:tc>
        <w:tc>
          <w:tcPr>
            <w:tcW w:w="6238" w:type="dxa"/>
            <w:gridSpan w:val="3"/>
          </w:tcPr>
          <w:p w14:paraId="1B802DDA" w14:textId="7A2B3669" w:rsidR="00AC0C7F" w:rsidRPr="008124D9" w:rsidRDefault="00D62448" w:rsidP="00CD2195">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124D9">
              <w:rPr>
                <w:rFonts w:asciiTheme="minorHAnsi" w:hAnsiTheme="minorHAnsi" w:cstheme="minorHAnsi"/>
                <w:sz w:val="20"/>
                <w:szCs w:val="20"/>
              </w:rPr>
              <w:t>Submit the program’s documented program structure (or what page it is in the residency manual if not readily apparent).  The program's documented structure should include: a list of the program’s required and elective learning experiences and the duration of each. For learning experiences greater than 12 weeks during which a specific amount of time is scheduled on a recurring basis, the amount of  time should be documented in the structure (see Guidance for 3.1.a.3). Names of learning experiences must be consistent among program documents and materials (e.g., manual, recruiting brochure/ virtual open house slides, website, PharmAcademic™, others).</w:t>
            </w:r>
          </w:p>
        </w:tc>
        <w:tc>
          <w:tcPr>
            <w:cnfStyle w:val="000010000000" w:firstRow="0" w:lastRow="0" w:firstColumn="0" w:lastColumn="0" w:oddVBand="1" w:evenVBand="0" w:oddHBand="0" w:evenHBand="0" w:firstRowFirstColumn="0" w:firstRowLastColumn="0" w:lastRowFirstColumn="0" w:lastRowLastColumn="0"/>
            <w:tcW w:w="1798" w:type="dxa"/>
          </w:tcPr>
          <w:p w14:paraId="1B802DDB" w14:textId="77777777" w:rsidR="00AC0C7F" w:rsidRPr="00223E4D" w:rsidRDefault="00AC0C7F" w:rsidP="00AC0C7F">
            <w:pPr>
              <w:autoSpaceDE w:val="0"/>
              <w:autoSpaceDN w:val="0"/>
              <w:adjustRightInd w:val="0"/>
              <w:jc w:val="center"/>
              <w:rPr>
                <w:rFonts w:cs="Calibri"/>
                <w:sz w:val="20"/>
                <w:szCs w:val="20"/>
              </w:rPr>
            </w:pPr>
            <w:r w:rsidRPr="00223E4D">
              <w:rPr>
                <w:rFonts w:cs="Calibri"/>
                <w:sz w:val="20"/>
                <w:szCs w:val="20"/>
              </w:rPr>
              <w:t>Standards 3.1.a, 3.1.a.1 – 3.1.a.4</w:t>
            </w:r>
          </w:p>
        </w:tc>
      </w:tr>
      <w:tr w:rsidR="00AC0C7F" w:rsidRPr="0053571B" w14:paraId="1B802DE1" w14:textId="77777777" w:rsidTr="008124D9">
        <w:trPr>
          <w:trHeight w:val="700"/>
        </w:trPr>
        <w:tc>
          <w:tcPr>
            <w:cnfStyle w:val="000010000000" w:firstRow="0" w:lastRow="0" w:firstColumn="0" w:lastColumn="0" w:oddVBand="1" w:evenVBand="0" w:oddHBand="0" w:evenHBand="0" w:firstRowFirstColumn="0" w:firstRowLastColumn="0" w:lastRowFirstColumn="0" w:lastRowLastColumn="0"/>
            <w:tcW w:w="2520" w:type="dxa"/>
          </w:tcPr>
          <w:p w14:paraId="1B802DDD"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lastRenderedPageBreak/>
              <w:t>Promotional Materials</w:t>
            </w:r>
          </w:p>
        </w:tc>
        <w:tc>
          <w:tcPr>
            <w:tcW w:w="6238" w:type="dxa"/>
            <w:gridSpan w:val="3"/>
          </w:tcPr>
          <w:p w14:paraId="1B802DDE" w14:textId="0ED38FDF" w:rsidR="00AC0C7F" w:rsidRPr="00213BF8" w:rsidRDefault="00D62448" w:rsidP="00AC0C7F">
            <w:pP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promotional materials for the program (e.g., recruiting materials/brochures, website address). </w:t>
            </w:r>
          </w:p>
          <w:p w14:paraId="1B802DDF" w14:textId="77777777" w:rsidR="00AC0C7F" w:rsidRPr="006075DD"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1798" w:type="dxa"/>
          </w:tcPr>
          <w:p w14:paraId="1B802DE0" w14:textId="77777777" w:rsidR="00AC0C7F" w:rsidRPr="00D7784F" w:rsidRDefault="00AC0C7F" w:rsidP="00AC0C7F">
            <w:pPr>
              <w:autoSpaceDE w:val="0"/>
              <w:autoSpaceDN w:val="0"/>
              <w:adjustRightInd w:val="0"/>
              <w:jc w:val="center"/>
              <w:rPr>
                <w:rFonts w:cs="Calibri"/>
                <w:sz w:val="20"/>
                <w:szCs w:val="20"/>
              </w:rPr>
            </w:pPr>
            <w:r w:rsidRPr="00D7784F">
              <w:rPr>
                <w:rFonts w:cs="Calibri"/>
                <w:sz w:val="20"/>
                <w:szCs w:val="20"/>
              </w:rPr>
              <w:t>Standard 3.1.a.1</w:t>
            </w:r>
          </w:p>
        </w:tc>
      </w:tr>
      <w:tr w:rsidR="00AC0C7F" w:rsidRPr="0053571B" w14:paraId="1B802DE5" w14:textId="77777777" w:rsidTr="008124D9">
        <w:trPr>
          <w:cnfStyle w:val="000000100000" w:firstRow="0" w:lastRow="0" w:firstColumn="0" w:lastColumn="0" w:oddVBand="0" w:evenVBand="0" w:oddHBand="1" w:evenHBand="0" w:firstRowFirstColumn="0" w:firstRowLastColumn="0" w:lastRowFirstColumn="0" w:lastRowLastColumn="0"/>
          <w:trHeight w:val="4273"/>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1B802DE2" w14:textId="77777777" w:rsidR="00AC0C7F" w:rsidRPr="00223E4D" w:rsidRDefault="00AC0C7F" w:rsidP="00AC0C7F">
            <w:pPr>
              <w:autoSpaceDE w:val="0"/>
              <w:autoSpaceDN w:val="0"/>
              <w:adjustRightInd w:val="0"/>
              <w:rPr>
                <w:rFonts w:cs="Calibri"/>
                <w:b/>
                <w:bCs/>
                <w:sz w:val="20"/>
                <w:szCs w:val="20"/>
                <w:highlight w:val="yellow"/>
              </w:rPr>
            </w:pPr>
            <w:r w:rsidRPr="00223E4D">
              <w:rPr>
                <w:rFonts w:cs="Calibri"/>
                <w:b/>
                <w:bCs/>
                <w:sz w:val="20"/>
                <w:szCs w:val="20"/>
              </w:rPr>
              <w:t>Evidence of Residents’ Completion of CAGO Requirements</w:t>
            </w:r>
          </w:p>
        </w:tc>
        <w:tc>
          <w:tcPr>
            <w:tcW w:w="6238" w:type="dxa"/>
            <w:gridSpan w:val="3"/>
            <w:shd w:val="clear" w:color="auto" w:fill="FFFFFF"/>
          </w:tcPr>
          <w:p w14:paraId="21B7247C" w14:textId="35F3FD8D" w:rsidR="008C697B" w:rsidRDefault="008C697B"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C</w:t>
            </w:r>
            <w:r w:rsidR="00AC0C7F" w:rsidRPr="00DA7468">
              <w:rPr>
                <w:rFonts w:cs="Calibri"/>
                <w:sz w:val="20"/>
                <w:szCs w:val="20"/>
              </w:rPr>
              <w:t xml:space="preserve">ompile and submit evidence of residents’ completion of requirements for specific objectives in the Competency Areas, Goals, and Objectives (CAGOs) for the program type as outlined in the Appendices. </w:t>
            </w:r>
            <w:r w:rsidR="00E74C3F">
              <w:rPr>
                <w:rFonts w:cs="Calibri"/>
                <w:sz w:val="20"/>
                <w:szCs w:val="20"/>
              </w:rPr>
              <w:t>Submit</w:t>
            </w:r>
            <w:r w:rsidR="00E146DD">
              <w:rPr>
                <w:rFonts w:cs="Calibri"/>
                <w:sz w:val="20"/>
                <w:szCs w:val="20"/>
              </w:rPr>
              <w:t xml:space="preserve"> e</w:t>
            </w:r>
            <w:r w:rsidR="00AC0C7F" w:rsidRPr="00DA7468">
              <w:rPr>
                <w:rFonts w:cs="Calibri"/>
                <w:sz w:val="20"/>
                <w:szCs w:val="20"/>
              </w:rPr>
              <w:t xml:space="preserve">vidence for one (1) </w:t>
            </w:r>
            <w:r w:rsidR="00AC0C7F" w:rsidRPr="00302C28">
              <w:rPr>
                <w:rFonts w:cs="Calibri"/>
                <w:sz w:val="20"/>
                <w:szCs w:val="20"/>
              </w:rPr>
              <w:t>resident</w:t>
            </w:r>
            <w:r w:rsidR="00AC0C7F" w:rsidRPr="00965246">
              <w:rPr>
                <w:rFonts w:cs="Calibri"/>
                <w:sz w:val="20"/>
                <w:szCs w:val="20"/>
              </w:rPr>
              <w:t xml:space="preserve"> from the most recently completed residency year. If your program is in Candidate status, please submit the Deliverables completed </w:t>
            </w:r>
            <w:r w:rsidR="00BF048D">
              <w:rPr>
                <w:rFonts w:cs="Calibri"/>
                <w:sz w:val="20"/>
                <w:szCs w:val="20"/>
              </w:rPr>
              <w:t>up to</w:t>
            </w:r>
            <w:r w:rsidR="00BF048D" w:rsidRPr="00965246">
              <w:rPr>
                <w:rFonts w:cs="Calibri"/>
                <w:sz w:val="20"/>
                <w:szCs w:val="20"/>
              </w:rPr>
              <w:t xml:space="preserve"> the date the pre-survey packet is due for one </w:t>
            </w:r>
            <w:r w:rsidR="00BF048D">
              <w:rPr>
                <w:rFonts w:cs="Calibri"/>
                <w:sz w:val="20"/>
                <w:szCs w:val="20"/>
              </w:rPr>
              <w:t>current resident</w:t>
            </w:r>
            <w:r w:rsidR="00BF048D" w:rsidRPr="00965246">
              <w:rPr>
                <w:rFonts w:cs="Calibri"/>
                <w:sz w:val="20"/>
                <w:szCs w:val="20"/>
              </w:rPr>
              <w:t>.</w:t>
            </w:r>
            <w:r w:rsidR="00BF048D">
              <w:rPr>
                <w:rFonts w:cs="Calibri"/>
                <w:sz w:val="20"/>
                <w:szCs w:val="20"/>
              </w:rPr>
              <w:t xml:space="preserve"> </w:t>
            </w:r>
          </w:p>
          <w:p w14:paraId="3C6AE338" w14:textId="77777777" w:rsidR="00E74C3F" w:rsidRDefault="00E74C3F"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p>
          <w:p w14:paraId="47F1C649" w14:textId="1637088C" w:rsidR="00E74C3F" w:rsidRDefault="00E74C3F"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For college of pharmacy sponsored PGY1 community-based residency programs with more than one primary practice site, submit e</w:t>
            </w:r>
            <w:r w:rsidRPr="00DA7468">
              <w:rPr>
                <w:rFonts w:cs="Calibri"/>
                <w:sz w:val="20"/>
                <w:szCs w:val="20"/>
              </w:rPr>
              <w:t xml:space="preserve">vidence for one (1) </w:t>
            </w:r>
            <w:r w:rsidRPr="00302C28">
              <w:rPr>
                <w:rFonts w:cs="Calibri"/>
                <w:sz w:val="20"/>
                <w:szCs w:val="20"/>
              </w:rPr>
              <w:t>resident</w:t>
            </w:r>
            <w:r>
              <w:rPr>
                <w:rFonts w:cs="Calibri"/>
                <w:sz w:val="20"/>
                <w:szCs w:val="20"/>
              </w:rPr>
              <w:t xml:space="preserve"> from each primary practice site</w:t>
            </w:r>
            <w:r w:rsidRPr="00965246">
              <w:rPr>
                <w:rFonts w:cs="Calibri"/>
                <w:sz w:val="20"/>
                <w:szCs w:val="20"/>
              </w:rPr>
              <w:t xml:space="preserve"> f</w:t>
            </w:r>
            <w:r>
              <w:rPr>
                <w:rFonts w:cs="Calibri"/>
                <w:sz w:val="20"/>
                <w:szCs w:val="20"/>
              </w:rPr>
              <w:t>or</w:t>
            </w:r>
            <w:r w:rsidRPr="00965246">
              <w:rPr>
                <w:rFonts w:cs="Calibri"/>
                <w:sz w:val="20"/>
                <w:szCs w:val="20"/>
              </w:rPr>
              <w:t xml:space="preserve"> the most recently completed residency year</w:t>
            </w:r>
            <w:r>
              <w:rPr>
                <w:rFonts w:cs="Calibri"/>
                <w:sz w:val="20"/>
                <w:szCs w:val="20"/>
              </w:rPr>
              <w:t>.</w:t>
            </w:r>
          </w:p>
          <w:p w14:paraId="1A56DB6F" w14:textId="77777777" w:rsidR="00BF048D" w:rsidRDefault="00BF048D"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p>
          <w:p w14:paraId="26916293" w14:textId="2125B50F" w:rsidR="00AC0C7F" w:rsidRDefault="008C697B"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If deliverables are not already available in PharmAcademic™, they</w:t>
            </w:r>
            <w:r w:rsidR="00AC0C7F" w:rsidRPr="00223E4D">
              <w:rPr>
                <w:rFonts w:cs="Calibri"/>
                <w:sz w:val="20"/>
                <w:szCs w:val="20"/>
              </w:rPr>
              <w:t xml:space="preserve"> may be submitted via a separate PDF file along with the pre-survey materials</w:t>
            </w:r>
            <w:r>
              <w:rPr>
                <w:rFonts w:cs="Calibri"/>
                <w:sz w:val="20"/>
                <w:szCs w:val="20"/>
              </w:rPr>
              <w:t xml:space="preserve">. For more information about these two options, </w:t>
            </w:r>
            <w:r w:rsidR="00AC0C7F" w:rsidRPr="00DA7468">
              <w:rPr>
                <w:rFonts w:cs="Calibri"/>
                <w:sz w:val="20"/>
                <w:szCs w:val="20"/>
              </w:rPr>
              <w:t xml:space="preserve"> see </w:t>
            </w:r>
            <w:bookmarkStart w:id="4" w:name="_Hlk177060337"/>
            <w:r w:rsidR="00AC0C7F">
              <w:rPr>
                <w:rFonts w:eastAsiaTheme="minorHAnsi" w:cstheme="minorBidi"/>
              </w:rPr>
              <w:fldChar w:fldCharType="begin"/>
            </w:r>
            <w:r w:rsidR="001A6BD0">
              <w:rPr>
                <w:rFonts w:eastAsiaTheme="minorHAnsi" w:cstheme="minorBidi"/>
              </w:rPr>
              <w:instrText>HYPERLINK "https://www.ashp.org/professional-development/residency-information/residency-program-resources/residency-accreditation/residency-accreditation-survey-readiness"</w:instrText>
            </w:r>
            <w:r w:rsidR="001A6BD0">
              <w:rPr>
                <w:rFonts w:eastAsiaTheme="minorHAnsi" w:cstheme="minorBidi"/>
              </w:rPr>
            </w:r>
            <w:r w:rsidR="00AC0C7F">
              <w:rPr>
                <w:rFonts w:eastAsiaTheme="minorHAnsi" w:cstheme="minorBidi"/>
              </w:rPr>
              <w:fldChar w:fldCharType="separate"/>
            </w:r>
            <w:r w:rsidR="00AC0C7F" w:rsidRPr="00C9017E">
              <w:rPr>
                <w:rStyle w:val="Hyperlink"/>
                <w:rFonts w:eastAsia="Times New Roman" w:cs="Calibri"/>
                <w:sz w:val="20"/>
                <w:szCs w:val="20"/>
              </w:rPr>
              <w:t>INSTRUCTIONS for Options to Submit Evidence of Residents’ Completion of CAGO Requirements</w:t>
            </w:r>
            <w:r w:rsidR="00AC0C7F">
              <w:rPr>
                <w:rStyle w:val="Hyperlink"/>
                <w:rFonts w:eastAsia="Times New Roman" w:cs="Calibri"/>
                <w:sz w:val="20"/>
                <w:szCs w:val="20"/>
              </w:rPr>
              <w:fldChar w:fldCharType="end"/>
            </w:r>
            <w:bookmarkEnd w:id="4"/>
            <w:r w:rsidR="00AC0C7F" w:rsidRPr="00DA7468">
              <w:rPr>
                <w:rFonts w:cs="Calibri"/>
                <w:sz w:val="20"/>
                <w:szCs w:val="20"/>
              </w:rPr>
              <w:t xml:space="preserve">.  </w:t>
            </w:r>
          </w:p>
          <w:p w14:paraId="0C5547AD" w14:textId="77777777" w:rsidR="008C697B" w:rsidRDefault="008C697B"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B802DE3" w14:textId="6CB17557" w:rsidR="008C697B" w:rsidRPr="00DA7468" w:rsidRDefault="008C697B"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1B802DE4" w14:textId="77777777" w:rsidR="00AC0C7F" w:rsidRPr="000C1C7C" w:rsidRDefault="00AC0C7F" w:rsidP="00AC0C7F">
            <w:pPr>
              <w:autoSpaceDE w:val="0"/>
              <w:autoSpaceDN w:val="0"/>
              <w:adjustRightInd w:val="0"/>
              <w:jc w:val="center"/>
              <w:rPr>
                <w:rFonts w:cs="Calibri"/>
                <w:sz w:val="20"/>
                <w:szCs w:val="20"/>
              </w:rPr>
            </w:pPr>
            <w:r w:rsidRPr="00302C28">
              <w:rPr>
                <w:rFonts w:cs="Calibri"/>
                <w:sz w:val="20"/>
                <w:szCs w:val="20"/>
              </w:rPr>
              <w:t>Standard 3.1.b.1</w:t>
            </w:r>
          </w:p>
        </w:tc>
      </w:tr>
      <w:tr w:rsidR="008E135F" w:rsidRPr="0053571B" w14:paraId="5BB4285C" w14:textId="77777777" w:rsidTr="00E24ADA">
        <w:trPr>
          <w:trHeight w:val="1591"/>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50D1E78B" w14:textId="4D2B1932" w:rsidR="008E135F" w:rsidRDefault="008E135F" w:rsidP="00AC0C7F">
            <w:pPr>
              <w:autoSpaceDE w:val="0"/>
              <w:autoSpaceDN w:val="0"/>
              <w:adjustRightInd w:val="0"/>
              <w:rPr>
                <w:rFonts w:cs="Calibri"/>
                <w:b/>
                <w:bCs/>
                <w:sz w:val="20"/>
                <w:szCs w:val="20"/>
              </w:rPr>
            </w:pPr>
            <w:r>
              <w:rPr>
                <w:rFonts w:cs="Calibri"/>
                <w:b/>
                <w:bCs/>
                <w:sz w:val="20"/>
                <w:szCs w:val="20"/>
              </w:rPr>
              <w:t xml:space="preserve">Evidence of Residents’ Appendix Completion (for program types </w:t>
            </w:r>
            <w:r w:rsidR="00DE6300">
              <w:rPr>
                <w:rFonts w:cs="Calibri"/>
                <w:b/>
                <w:bCs/>
                <w:sz w:val="20"/>
                <w:szCs w:val="20"/>
              </w:rPr>
              <w:t>whose CAGOs require an Appendix)</w:t>
            </w:r>
          </w:p>
        </w:tc>
        <w:tc>
          <w:tcPr>
            <w:tcW w:w="6238" w:type="dxa"/>
            <w:gridSpan w:val="3"/>
            <w:shd w:val="clear" w:color="auto" w:fill="FFFFFF"/>
          </w:tcPr>
          <w:p w14:paraId="1FACAA7F" w14:textId="27A34A7D" w:rsidR="008E135F" w:rsidRDefault="00071E22" w:rsidP="00AC0C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F</w:t>
            </w:r>
            <w:r w:rsidRPr="008C697B">
              <w:rPr>
                <w:rFonts w:cs="Calibri"/>
                <w:sz w:val="20"/>
                <w:szCs w:val="20"/>
              </w:rPr>
              <w:t>or programs</w:t>
            </w:r>
            <w:r>
              <w:rPr>
                <w:rFonts w:cs="Calibri"/>
                <w:sz w:val="20"/>
                <w:szCs w:val="20"/>
              </w:rPr>
              <w:t xml:space="preserve"> types</w:t>
            </w:r>
            <w:r w:rsidRPr="008C697B">
              <w:rPr>
                <w:rFonts w:cs="Calibri"/>
                <w:sz w:val="20"/>
                <w:szCs w:val="20"/>
              </w:rPr>
              <w:t xml:space="preserve"> that require an </w:t>
            </w:r>
            <w:r>
              <w:rPr>
                <w:rFonts w:cs="Calibri"/>
                <w:sz w:val="20"/>
                <w:szCs w:val="20"/>
              </w:rPr>
              <w:t>A</w:t>
            </w:r>
            <w:r w:rsidRPr="008C697B">
              <w:rPr>
                <w:rFonts w:cs="Calibri"/>
                <w:sz w:val="20"/>
                <w:szCs w:val="20"/>
              </w:rPr>
              <w:t>ppendix</w:t>
            </w:r>
            <w:r>
              <w:rPr>
                <w:rFonts w:cs="Calibri"/>
                <w:sz w:val="20"/>
                <w:szCs w:val="20"/>
              </w:rPr>
              <w:t>,</w:t>
            </w:r>
            <w:r w:rsidRPr="008C697B">
              <w:rPr>
                <w:rFonts w:cs="Calibri"/>
                <w:sz w:val="20"/>
                <w:szCs w:val="20"/>
              </w:rPr>
              <w:t xml:space="preserve"> if </w:t>
            </w:r>
            <w:r>
              <w:rPr>
                <w:rFonts w:cs="Calibri"/>
                <w:sz w:val="20"/>
                <w:szCs w:val="20"/>
              </w:rPr>
              <w:t xml:space="preserve">Appendix completion is not tracked </w:t>
            </w:r>
            <w:r w:rsidRPr="008C697B">
              <w:rPr>
                <w:rFonts w:cs="Calibri"/>
                <w:sz w:val="20"/>
                <w:szCs w:val="20"/>
              </w:rPr>
              <w:t>in P</w:t>
            </w:r>
            <w:r>
              <w:rPr>
                <w:rFonts w:cs="Calibri"/>
                <w:sz w:val="20"/>
                <w:szCs w:val="20"/>
              </w:rPr>
              <w:t>harmAcademic™</w:t>
            </w:r>
            <w:r w:rsidRPr="008C697B">
              <w:rPr>
                <w:rFonts w:cs="Calibri"/>
                <w:sz w:val="20"/>
                <w:szCs w:val="20"/>
              </w:rPr>
              <w:t xml:space="preserve">, submit completed </w:t>
            </w:r>
            <w:r>
              <w:rPr>
                <w:rFonts w:cs="Calibri"/>
                <w:sz w:val="20"/>
                <w:szCs w:val="20"/>
              </w:rPr>
              <w:t>evidence of A</w:t>
            </w:r>
            <w:r w:rsidRPr="008C697B">
              <w:rPr>
                <w:rFonts w:cs="Calibri"/>
                <w:sz w:val="20"/>
                <w:szCs w:val="20"/>
              </w:rPr>
              <w:t>ppendix</w:t>
            </w:r>
            <w:r>
              <w:rPr>
                <w:rFonts w:cs="Calibri"/>
                <w:sz w:val="20"/>
                <w:szCs w:val="20"/>
              </w:rPr>
              <w:t xml:space="preserve"> completion for one resident for the most recently completed residency year.</w:t>
            </w:r>
            <w:r w:rsidRPr="00965246">
              <w:rPr>
                <w:rFonts w:cs="Calibri"/>
                <w:sz w:val="20"/>
                <w:szCs w:val="20"/>
              </w:rPr>
              <w:t xml:space="preserve"> If your program is in Candidate status, submit the </w:t>
            </w:r>
            <w:r>
              <w:rPr>
                <w:rFonts w:cs="Calibri"/>
                <w:sz w:val="20"/>
                <w:szCs w:val="20"/>
              </w:rPr>
              <w:t>evidence of Appendix</w:t>
            </w:r>
            <w:r w:rsidRPr="00965246">
              <w:rPr>
                <w:rFonts w:cs="Calibri"/>
                <w:sz w:val="20"/>
                <w:szCs w:val="20"/>
              </w:rPr>
              <w:t xml:space="preserve"> complet</w:t>
            </w:r>
            <w:r>
              <w:rPr>
                <w:rFonts w:cs="Calibri"/>
                <w:sz w:val="20"/>
                <w:szCs w:val="20"/>
              </w:rPr>
              <w:t>ion up to</w:t>
            </w:r>
            <w:r w:rsidRPr="00965246">
              <w:rPr>
                <w:rFonts w:cs="Calibri"/>
                <w:sz w:val="20"/>
                <w:szCs w:val="20"/>
              </w:rPr>
              <w:t xml:space="preserve"> the date the pre-survey packet is due for one </w:t>
            </w:r>
            <w:r>
              <w:rPr>
                <w:rFonts w:cs="Calibri"/>
                <w:sz w:val="20"/>
                <w:szCs w:val="20"/>
              </w:rPr>
              <w:t>current resident</w:t>
            </w:r>
            <w:r w:rsidRPr="00965246">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3E158C4D" w14:textId="23673BF5" w:rsidR="008E135F" w:rsidRDefault="000A1914" w:rsidP="00AC0C7F">
            <w:pPr>
              <w:autoSpaceDE w:val="0"/>
              <w:autoSpaceDN w:val="0"/>
              <w:adjustRightInd w:val="0"/>
              <w:jc w:val="center"/>
              <w:rPr>
                <w:rFonts w:cs="Calibri"/>
                <w:sz w:val="20"/>
                <w:szCs w:val="20"/>
              </w:rPr>
            </w:pPr>
            <w:r w:rsidRPr="00302C28">
              <w:rPr>
                <w:rFonts w:cs="Calibri"/>
                <w:sz w:val="20"/>
                <w:szCs w:val="20"/>
              </w:rPr>
              <w:t>Standard 3.1.b.1</w:t>
            </w:r>
            <w:r w:rsidR="004B4212">
              <w:rPr>
                <w:rFonts w:cs="Calibri"/>
                <w:sz w:val="20"/>
                <w:szCs w:val="20"/>
              </w:rPr>
              <w:t>.b</w:t>
            </w:r>
          </w:p>
        </w:tc>
      </w:tr>
      <w:tr w:rsidR="00BF048D" w:rsidRPr="0053571B" w14:paraId="143D44AF" w14:textId="77777777" w:rsidTr="001A6BD0">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1430B64D" w14:textId="6C617EE3" w:rsidR="00BF048D" w:rsidRPr="00223E4D" w:rsidRDefault="00BF048D" w:rsidP="00AC0C7F">
            <w:pPr>
              <w:autoSpaceDE w:val="0"/>
              <w:autoSpaceDN w:val="0"/>
              <w:adjustRightInd w:val="0"/>
              <w:rPr>
                <w:rFonts w:cs="Calibri"/>
                <w:b/>
                <w:bCs/>
                <w:sz w:val="20"/>
                <w:szCs w:val="20"/>
              </w:rPr>
            </w:pPr>
            <w:r>
              <w:rPr>
                <w:rFonts w:cs="Calibri"/>
                <w:b/>
                <w:bCs/>
                <w:sz w:val="20"/>
                <w:szCs w:val="20"/>
              </w:rPr>
              <w:t>Quarterly tracking of resident(s) progress towards program’s completion requirements</w:t>
            </w:r>
          </w:p>
        </w:tc>
        <w:tc>
          <w:tcPr>
            <w:tcW w:w="6238" w:type="dxa"/>
            <w:gridSpan w:val="3"/>
            <w:shd w:val="clear" w:color="auto" w:fill="FFFFFF"/>
          </w:tcPr>
          <w:p w14:paraId="2BCE54EE" w14:textId="6CF1D52C" w:rsidR="00BF048D" w:rsidRDefault="00BF048D" w:rsidP="00AC0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If not already available in PharmAcademic, submit quarterly tracking of progress towards programs completion requirements for current and most recent residents.</w:t>
            </w:r>
          </w:p>
        </w:tc>
        <w:tc>
          <w:tcPr>
            <w:cnfStyle w:val="000010000000" w:firstRow="0" w:lastRow="0" w:firstColumn="0" w:lastColumn="0" w:oddVBand="1" w:evenVBand="0" w:oddHBand="0" w:evenHBand="0" w:firstRowFirstColumn="0" w:firstRowLastColumn="0" w:lastRowFirstColumn="0" w:lastRowLastColumn="0"/>
            <w:tcW w:w="1798" w:type="dxa"/>
            <w:shd w:val="clear" w:color="auto" w:fill="FFFFFF"/>
          </w:tcPr>
          <w:p w14:paraId="259D07B4" w14:textId="5D297C5F" w:rsidR="00BF048D" w:rsidRPr="00302C28" w:rsidRDefault="00BF048D" w:rsidP="00AC0C7F">
            <w:pPr>
              <w:autoSpaceDE w:val="0"/>
              <w:autoSpaceDN w:val="0"/>
              <w:adjustRightInd w:val="0"/>
              <w:jc w:val="center"/>
              <w:rPr>
                <w:rFonts w:cs="Calibri"/>
                <w:sz w:val="20"/>
                <w:szCs w:val="20"/>
              </w:rPr>
            </w:pPr>
            <w:r>
              <w:rPr>
                <w:rFonts w:cs="Calibri"/>
                <w:sz w:val="20"/>
                <w:szCs w:val="20"/>
              </w:rPr>
              <w:t>Standard 3.3.e</w:t>
            </w:r>
          </w:p>
        </w:tc>
      </w:tr>
      <w:tr w:rsidR="00AC0C7F" w:rsidRPr="0053571B" w14:paraId="1B802DE8" w14:textId="77777777" w:rsidTr="00E24ADA">
        <w:trPr>
          <w:trHeight w:val="544"/>
        </w:trPr>
        <w:tc>
          <w:tcPr>
            <w:cnfStyle w:val="000010000000" w:firstRow="0" w:lastRow="0" w:firstColumn="0" w:lastColumn="0" w:oddVBand="1" w:evenVBand="0" w:oddHBand="0" w:evenHBand="0" w:firstRowFirstColumn="0" w:firstRowLastColumn="0" w:lastRowFirstColumn="0" w:lastRowLastColumn="0"/>
            <w:tcW w:w="2520" w:type="dxa"/>
            <w:shd w:val="clear" w:color="auto" w:fill="BDD6EE"/>
          </w:tcPr>
          <w:p w14:paraId="1B802DE6"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Standard 4:</w:t>
            </w:r>
          </w:p>
        </w:tc>
        <w:tc>
          <w:tcPr>
            <w:tcW w:w="8036" w:type="dxa"/>
            <w:gridSpan w:val="4"/>
            <w:shd w:val="clear" w:color="auto" w:fill="BDD6EE"/>
          </w:tcPr>
          <w:p w14:paraId="1B802DE7" w14:textId="77777777" w:rsidR="00AC0C7F" w:rsidRPr="00DA7468"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DA7468">
              <w:rPr>
                <w:rFonts w:cs="Calibri"/>
                <w:b/>
                <w:sz w:val="20"/>
                <w:szCs w:val="20"/>
              </w:rPr>
              <w:t>Requirements of the Residency Program Director and Preceptors</w:t>
            </w:r>
          </w:p>
        </w:tc>
      </w:tr>
      <w:tr w:rsidR="00AC0C7F" w:rsidRPr="0053571B" w14:paraId="1B802DEF" w14:textId="77777777" w:rsidTr="00EB0959">
        <w:trPr>
          <w:cnfStyle w:val="000000100000" w:firstRow="0" w:lastRow="0" w:firstColumn="0" w:lastColumn="0" w:oddVBand="0" w:evenVBand="0" w:oddHBand="1" w:evenHBand="0" w:firstRowFirstColumn="0" w:firstRowLastColumn="0" w:lastRowFirstColumn="0" w:lastRowLastColumn="0"/>
          <w:trHeight w:val="853"/>
        </w:trPr>
        <w:tc>
          <w:tcPr>
            <w:cnfStyle w:val="000010000000" w:firstRow="0" w:lastRow="0" w:firstColumn="0" w:lastColumn="0" w:oddVBand="1" w:evenVBand="0" w:oddHBand="0" w:evenHBand="0" w:firstRowFirstColumn="0" w:firstRowLastColumn="0" w:lastRowFirstColumn="0" w:lastRowLastColumn="0"/>
            <w:tcW w:w="2520" w:type="dxa"/>
          </w:tcPr>
          <w:p w14:paraId="1B802DE9"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RPD’s APR Form</w:t>
            </w:r>
          </w:p>
        </w:tc>
        <w:tc>
          <w:tcPr>
            <w:tcW w:w="3952" w:type="dxa"/>
            <w:gridSpan w:val="2"/>
          </w:tcPr>
          <w:p w14:paraId="6329DA9B" w14:textId="60A29E95" w:rsidR="00022436" w:rsidRDefault="0084793F"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If not already available in PharmAcademic, s</w:t>
            </w:r>
            <w:r w:rsidR="00AC0C7F" w:rsidRPr="00DA7468">
              <w:rPr>
                <w:rFonts w:cs="Calibri"/>
                <w:sz w:val="20"/>
                <w:szCs w:val="20"/>
              </w:rPr>
              <w:t>ubmit the</w:t>
            </w:r>
            <w:r w:rsidR="0075430F">
              <w:rPr>
                <w:rFonts w:cs="Calibri"/>
                <w:sz w:val="20"/>
                <w:szCs w:val="20"/>
              </w:rPr>
              <w:t xml:space="preserve"> RPD’s</w:t>
            </w:r>
            <w:r w:rsidR="0037093A">
              <w:rPr>
                <w:rFonts w:cs="Calibri"/>
                <w:sz w:val="20"/>
                <w:szCs w:val="20"/>
              </w:rPr>
              <w:t xml:space="preserve"> </w:t>
            </w:r>
            <w:hyperlink r:id="rId16" w:history="1">
              <w:r w:rsidR="0037093A" w:rsidRPr="0037093A">
                <w:rPr>
                  <w:rStyle w:val="Hyperlink"/>
                  <w:rFonts w:asciiTheme="minorHAnsi" w:eastAsiaTheme="minorHAnsi" w:hAnsiTheme="minorHAnsi" w:cs="Calibri"/>
                  <w:sz w:val="20"/>
                  <w:szCs w:val="20"/>
                </w:rPr>
                <w:t>APR Form (Academic and Professional Record)</w:t>
              </w:r>
            </w:hyperlink>
            <w:r w:rsidR="007A0798">
              <w:rPr>
                <w:rFonts w:cs="Calibri"/>
                <w:sz w:val="20"/>
                <w:szCs w:val="20"/>
              </w:rPr>
              <w:t xml:space="preserve">. </w:t>
            </w:r>
          </w:p>
          <w:p w14:paraId="1B802DEA" w14:textId="1D58DBAE" w:rsidR="00AC0C7F" w:rsidRPr="00965246" w:rsidRDefault="00AC0C7F" w:rsidP="000A4F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tc>
        <w:tc>
          <w:tcPr>
            <w:cnfStyle w:val="000010000000" w:firstRow="0" w:lastRow="0" w:firstColumn="0" w:lastColumn="0" w:oddVBand="1" w:evenVBand="0" w:oddHBand="0" w:evenHBand="0" w:firstRowFirstColumn="0" w:firstRowLastColumn="0" w:lastRowFirstColumn="0" w:lastRowLastColumn="0"/>
            <w:tcW w:w="2286" w:type="dxa"/>
          </w:tcPr>
          <w:p w14:paraId="1B802DEB" w14:textId="77777777" w:rsidR="00AC0C7F" w:rsidRPr="00965246" w:rsidRDefault="00AC0C7F" w:rsidP="00AC0C7F">
            <w:pPr>
              <w:autoSpaceDE w:val="0"/>
              <w:autoSpaceDN w:val="0"/>
              <w:adjustRightInd w:val="0"/>
              <w:rPr>
                <w:rFonts w:cs="Calibri"/>
                <w:sz w:val="20"/>
                <w:szCs w:val="20"/>
              </w:rPr>
            </w:pPr>
          </w:p>
          <w:p w14:paraId="1B802DEC" w14:textId="59F5A190" w:rsidR="00AC0C7F" w:rsidRPr="00223E4D" w:rsidRDefault="00AC0C7F" w:rsidP="00AC0C7F">
            <w:pPr>
              <w:autoSpaceDE w:val="0"/>
              <w:autoSpaceDN w:val="0"/>
              <w:adjustRightInd w:val="0"/>
              <w:rPr>
                <w:rFonts w:cs="Calibri"/>
                <w:sz w:val="20"/>
                <w:szCs w:val="20"/>
              </w:rPr>
            </w:pPr>
          </w:p>
        </w:tc>
        <w:tc>
          <w:tcPr>
            <w:tcW w:w="1798" w:type="dxa"/>
          </w:tcPr>
          <w:p w14:paraId="1B802DED" w14:textId="77777777" w:rsidR="00AC0C7F" w:rsidRPr="006075DD" w:rsidRDefault="00AC0C7F" w:rsidP="00AC0C7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DA7468">
              <w:rPr>
                <w:rFonts w:cs="Calibri"/>
                <w:sz w:val="20"/>
                <w:szCs w:val="20"/>
              </w:rPr>
              <w:t xml:space="preserve">Standards 4.2.a (PGY1) </w:t>
            </w:r>
            <w:r w:rsidRPr="00302C28">
              <w:rPr>
                <w:rFonts w:cs="Calibri"/>
                <w:sz w:val="20"/>
                <w:szCs w:val="20"/>
              </w:rPr>
              <w:t>and 4.2.b (PGY2)</w:t>
            </w:r>
          </w:p>
          <w:p w14:paraId="1B802DEE" w14:textId="77777777" w:rsidR="00AC0C7F" w:rsidRPr="00D7784F" w:rsidRDefault="00AC0C7F" w:rsidP="00AC0C7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D7784F">
              <w:rPr>
                <w:rFonts w:cs="Calibri"/>
                <w:sz w:val="20"/>
                <w:szCs w:val="20"/>
              </w:rPr>
              <w:t xml:space="preserve">Standards  4.3.a – 4.3.f </w:t>
            </w:r>
          </w:p>
        </w:tc>
      </w:tr>
      <w:tr w:rsidR="00AC0C7F" w:rsidRPr="0053571B" w14:paraId="1B802DF3" w14:textId="77777777" w:rsidTr="00E24ADA">
        <w:trPr>
          <w:trHeight w:val="544"/>
        </w:trPr>
        <w:tc>
          <w:tcPr>
            <w:cnfStyle w:val="000010000000" w:firstRow="0" w:lastRow="0" w:firstColumn="0" w:lastColumn="0" w:oddVBand="1" w:evenVBand="0" w:oddHBand="0" w:evenHBand="0" w:firstRowFirstColumn="0" w:firstRowLastColumn="0" w:lastRowFirstColumn="0" w:lastRowLastColumn="0"/>
            <w:tcW w:w="2520" w:type="dxa"/>
          </w:tcPr>
          <w:p w14:paraId="1B802DF0"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Program Oversight Committee Meeting Minutes</w:t>
            </w:r>
          </w:p>
        </w:tc>
        <w:tc>
          <w:tcPr>
            <w:tcW w:w="6238" w:type="dxa"/>
            <w:gridSpan w:val="3"/>
          </w:tcPr>
          <w:p w14:paraId="1B802DF1" w14:textId="2DD46F7E" w:rsidR="00AC0C7F" w:rsidRPr="001B0ADF" w:rsidRDefault="0062502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sz w:val="20"/>
                <w:szCs w:val="20"/>
              </w:rPr>
              <w:t>S</w:t>
            </w:r>
            <w:r w:rsidR="00573C23" w:rsidRPr="00CD2195">
              <w:rPr>
                <w:sz w:val="20"/>
                <w:szCs w:val="20"/>
              </w:rPr>
              <w:t>ubmit the minutes from the three (3) most recent meetings of the Program Oversight Committee. </w:t>
            </w:r>
            <w:r w:rsidR="00573C23" w:rsidRPr="00CD2195">
              <w:rPr>
                <w:sz w:val="20"/>
                <w:szCs w:val="20"/>
              </w:rPr>
              <w:br/>
              <w:t xml:space="preserve">Note: For multi-program surveys, if there is an overall governing </w:t>
            </w:r>
            <w:r w:rsidR="008C4CF8">
              <w:rPr>
                <w:sz w:val="20"/>
                <w:szCs w:val="20"/>
              </w:rPr>
              <w:t>Residency Advisory Committee (</w:t>
            </w:r>
            <w:r w:rsidR="00573C23" w:rsidRPr="00CD2195">
              <w:rPr>
                <w:sz w:val="20"/>
                <w:szCs w:val="20"/>
              </w:rPr>
              <w:t>RAC</w:t>
            </w:r>
            <w:r w:rsidR="008C4CF8">
              <w:rPr>
                <w:sz w:val="20"/>
                <w:szCs w:val="20"/>
              </w:rPr>
              <w:t>)</w:t>
            </w:r>
            <w:r w:rsidR="00573C23" w:rsidRPr="00CD2195">
              <w:rPr>
                <w:sz w:val="20"/>
                <w:szCs w:val="20"/>
              </w:rPr>
              <w:t xml:space="preserve"> that sets policy, those minutes should be included in the COMMON PACKET. Individual program RAC minutes should be submitted with Individual Program packets.</w:t>
            </w:r>
          </w:p>
        </w:tc>
        <w:tc>
          <w:tcPr>
            <w:cnfStyle w:val="000010000000" w:firstRow="0" w:lastRow="0" w:firstColumn="0" w:lastColumn="0" w:oddVBand="1" w:evenVBand="0" w:oddHBand="0" w:evenHBand="0" w:firstRowFirstColumn="0" w:firstRowLastColumn="0" w:lastRowFirstColumn="0" w:lastRowLastColumn="0"/>
            <w:tcW w:w="1798" w:type="dxa"/>
          </w:tcPr>
          <w:p w14:paraId="1B802DF2" w14:textId="77777777" w:rsidR="00AC0C7F" w:rsidRPr="00D7784F" w:rsidRDefault="00AC0C7F" w:rsidP="00AC0C7F">
            <w:pPr>
              <w:autoSpaceDE w:val="0"/>
              <w:autoSpaceDN w:val="0"/>
              <w:adjustRightInd w:val="0"/>
              <w:jc w:val="center"/>
              <w:rPr>
                <w:rFonts w:cs="Calibri"/>
                <w:sz w:val="20"/>
                <w:szCs w:val="20"/>
              </w:rPr>
            </w:pPr>
            <w:r w:rsidRPr="006075DD">
              <w:rPr>
                <w:rFonts w:cs="Calibri"/>
                <w:sz w:val="20"/>
                <w:szCs w:val="20"/>
              </w:rPr>
              <w:t>Standards , 4.4.a, 4.4.a.1, 4.4.a.2</w:t>
            </w:r>
          </w:p>
        </w:tc>
      </w:tr>
      <w:tr w:rsidR="00AC0C7F" w:rsidRPr="0053571B" w14:paraId="1B802DF7" w14:textId="77777777" w:rsidTr="00E24ADA">
        <w:trPr>
          <w:cnfStyle w:val="000000100000" w:firstRow="0" w:lastRow="0" w:firstColumn="0" w:lastColumn="0" w:oddVBand="0" w:evenVBand="0" w:oddHBand="1" w:evenHBand="0" w:firstRowFirstColumn="0" w:firstRowLastColumn="0" w:lastRowFirstColumn="0" w:lastRowLastColumn="0"/>
          <w:trHeight w:val="544"/>
        </w:trPr>
        <w:tc>
          <w:tcPr>
            <w:cnfStyle w:val="000010000000" w:firstRow="0" w:lastRow="0" w:firstColumn="0" w:lastColumn="0" w:oddVBand="1" w:evenVBand="0" w:oddHBand="0" w:evenHBand="0" w:firstRowFirstColumn="0" w:firstRowLastColumn="0" w:lastRowFirstColumn="0" w:lastRowLastColumn="0"/>
            <w:tcW w:w="2520" w:type="dxa"/>
          </w:tcPr>
          <w:p w14:paraId="1B802DF4"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Annual Program Evaluation</w:t>
            </w:r>
          </w:p>
        </w:tc>
        <w:tc>
          <w:tcPr>
            <w:tcW w:w="6238" w:type="dxa"/>
            <w:gridSpan w:val="3"/>
          </w:tcPr>
          <w:p w14:paraId="1B802DF5" w14:textId="4DE8DEDC" w:rsidR="00AC0C7F" w:rsidRPr="006075DD" w:rsidRDefault="00B22B5C"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ubmit documentation of the most recent annual program</w:t>
            </w:r>
            <w:r w:rsidR="00767618">
              <w:rPr>
                <w:rFonts w:cs="Calibri"/>
                <w:sz w:val="20"/>
                <w:szCs w:val="20"/>
              </w:rPr>
              <w:t xml:space="preserve"> evaluation</w:t>
            </w:r>
            <w:r w:rsidR="002F65CF">
              <w:rPr>
                <w:rFonts w:cs="Calibri"/>
                <w:sz w:val="20"/>
                <w:szCs w:val="20"/>
              </w:rPr>
              <w:t>.</w:t>
            </w:r>
            <w:r w:rsidR="00AC0C7F" w:rsidRPr="00DA7468">
              <w:rPr>
                <w:rFonts w:cs="Calibri"/>
                <w:sz w:val="20"/>
                <w:szCs w:val="20"/>
              </w:rPr>
              <w:t xml:space="preserve"> </w:t>
            </w:r>
            <w:r w:rsidR="00AC0C7F">
              <w:rPr>
                <w:rFonts w:cs="Calibri"/>
                <w:sz w:val="20"/>
                <w:szCs w:val="20"/>
              </w:rPr>
              <w:t xml:space="preserve">Documentation should include the date of the evaluation, participants, and the changes that will be made. </w:t>
            </w:r>
            <w:r w:rsidR="00AC0C7F" w:rsidRPr="00302C28">
              <w:rPr>
                <w:rFonts w:cs="Calibri"/>
                <w:sz w:val="20"/>
                <w:szCs w:val="20"/>
              </w:rPr>
              <w:t xml:space="preserve">For programs that have not yet completed a full year, please submit the plan for the initial annual evaluation. </w:t>
            </w:r>
          </w:p>
        </w:tc>
        <w:tc>
          <w:tcPr>
            <w:cnfStyle w:val="000010000000" w:firstRow="0" w:lastRow="0" w:firstColumn="0" w:lastColumn="0" w:oddVBand="1" w:evenVBand="0" w:oddHBand="0" w:evenHBand="0" w:firstRowFirstColumn="0" w:firstRowLastColumn="0" w:lastRowFirstColumn="0" w:lastRowLastColumn="0"/>
            <w:tcW w:w="1798" w:type="dxa"/>
          </w:tcPr>
          <w:p w14:paraId="1B802DF6" w14:textId="77777777" w:rsidR="00AC0C7F" w:rsidRPr="00965246" w:rsidRDefault="00AC0C7F" w:rsidP="00AC0C7F">
            <w:pPr>
              <w:autoSpaceDE w:val="0"/>
              <w:autoSpaceDN w:val="0"/>
              <w:adjustRightInd w:val="0"/>
              <w:jc w:val="center"/>
              <w:rPr>
                <w:rFonts w:cs="Calibri"/>
                <w:sz w:val="20"/>
                <w:szCs w:val="20"/>
              </w:rPr>
            </w:pPr>
            <w:r w:rsidRPr="00D7784F">
              <w:rPr>
                <w:rFonts w:cs="Calibri"/>
                <w:sz w:val="20"/>
                <w:szCs w:val="20"/>
              </w:rPr>
              <w:t>Standards 4.4.b.1, 4.4.b.1.a</w:t>
            </w:r>
          </w:p>
        </w:tc>
      </w:tr>
      <w:tr w:rsidR="00AC0C7F" w:rsidRPr="0053571B" w14:paraId="1B802DFB" w14:textId="77777777" w:rsidTr="00E24ADA">
        <w:trPr>
          <w:trHeight w:val="610"/>
        </w:trPr>
        <w:tc>
          <w:tcPr>
            <w:cnfStyle w:val="000010000000" w:firstRow="0" w:lastRow="0" w:firstColumn="0" w:lastColumn="0" w:oddVBand="1" w:evenVBand="0" w:oddHBand="0" w:evenHBand="0" w:firstRowFirstColumn="0" w:firstRowLastColumn="0" w:lastRowFirstColumn="0" w:lastRowLastColumn="0"/>
            <w:tcW w:w="2520" w:type="dxa"/>
          </w:tcPr>
          <w:p w14:paraId="1B802DF8"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lastRenderedPageBreak/>
              <w:t>Preceptor Selection</w:t>
            </w:r>
          </w:p>
        </w:tc>
        <w:tc>
          <w:tcPr>
            <w:tcW w:w="6238" w:type="dxa"/>
            <w:gridSpan w:val="3"/>
          </w:tcPr>
          <w:p w14:paraId="1B802DF9" w14:textId="4E79383D" w:rsidR="00AC0C7F" w:rsidRPr="00DA7468" w:rsidRDefault="00EE533A"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C00000"/>
                <w:sz w:val="20"/>
                <w:szCs w:val="20"/>
              </w:rPr>
            </w:pPr>
            <w:r>
              <w:rPr>
                <w:rFonts w:cs="Calibri"/>
                <w:sz w:val="20"/>
                <w:szCs w:val="20"/>
              </w:rPr>
              <w:t>S</w:t>
            </w:r>
            <w:r w:rsidR="00AC0C7F" w:rsidRPr="00DA7468">
              <w:rPr>
                <w:rFonts w:cs="Calibri"/>
                <w:sz w:val="20"/>
                <w:szCs w:val="20"/>
              </w:rPr>
              <w:t>ubmit the</w:t>
            </w:r>
            <w:r w:rsidR="00E757C0">
              <w:rPr>
                <w:rFonts w:cs="Calibri"/>
                <w:sz w:val="20"/>
                <w:szCs w:val="20"/>
              </w:rPr>
              <w:t xml:space="preserve"> program’s</w:t>
            </w:r>
            <w:r w:rsidR="00AC0C7F" w:rsidRPr="00DA7468">
              <w:rPr>
                <w:rFonts w:cs="Calibri"/>
                <w:sz w:val="20"/>
                <w:szCs w:val="20"/>
              </w:rPr>
              <w:t xml:space="preserve"> criteria for appointment and reappointment of preceptors</w:t>
            </w:r>
            <w:r w:rsidR="00D57143">
              <w:rPr>
                <w:rFonts w:cs="Calibri"/>
                <w:sz w:val="20"/>
                <w:szCs w:val="20"/>
              </w:rPr>
              <w:t xml:space="preserve">. </w:t>
            </w:r>
            <w:r w:rsidR="00781547" w:rsidRPr="00CD2195">
              <w:rPr>
                <w:sz w:val="20"/>
                <w:szCs w:val="20"/>
              </w:rPr>
              <w:t xml:space="preserve">Also submit </w:t>
            </w:r>
            <w:r w:rsidR="00414033">
              <w:rPr>
                <w:sz w:val="20"/>
                <w:szCs w:val="20"/>
              </w:rPr>
              <w:t xml:space="preserve">documentation of </w:t>
            </w:r>
            <w:r w:rsidR="00781547" w:rsidRPr="00CD2195">
              <w:rPr>
                <w:sz w:val="20"/>
                <w:szCs w:val="20"/>
              </w:rPr>
              <w:t>the most recent appointment/reappointment decisions.</w:t>
            </w:r>
            <w:r w:rsidR="00AC0C7F" w:rsidRPr="00223E4D">
              <w:rPr>
                <w:rFonts w:cs="Calibri"/>
                <w:sz w:val="20"/>
                <w:szCs w:val="20"/>
              </w:rPr>
              <w:t xml:space="preserve"> (Examples of documentation may include committee meeting minutes, letter of</w:t>
            </w:r>
            <w:r w:rsidR="00B16D8F">
              <w:rPr>
                <w:rFonts w:cs="Calibri"/>
                <w:sz w:val="20"/>
                <w:szCs w:val="20"/>
              </w:rPr>
              <w:t xml:space="preserve"> </w:t>
            </w:r>
            <w:r w:rsidR="00AC0C7F" w:rsidRPr="00223E4D">
              <w:rPr>
                <w:rFonts w:cs="Calibri"/>
                <w:sz w:val="20"/>
                <w:szCs w:val="20"/>
              </w:rPr>
              <w:t>appointment/reappointment, tracking tool.)</w:t>
            </w:r>
          </w:p>
        </w:tc>
        <w:tc>
          <w:tcPr>
            <w:cnfStyle w:val="000010000000" w:firstRow="0" w:lastRow="0" w:firstColumn="0" w:lastColumn="0" w:oddVBand="1" w:evenVBand="0" w:oddHBand="0" w:evenHBand="0" w:firstRowFirstColumn="0" w:firstRowLastColumn="0" w:lastRowFirstColumn="0" w:lastRowLastColumn="0"/>
            <w:tcW w:w="1798" w:type="dxa"/>
          </w:tcPr>
          <w:p w14:paraId="1B802DFA" w14:textId="77777777" w:rsidR="00AC0C7F" w:rsidRPr="006075DD" w:rsidRDefault="00AC0C7F" w:rsidP="00AC0C7F">
            <w:pPr>
              <w:autoSpaceDE w:val="0"/>
              <w:autoSpaceDN w:val="0"/>
              <w:adjustRightInd w:val="0"/>
              <w:jc w:val="center"/>
              <w:rPr>
                <w:rFonts w:cs="Calibri"/>
                <w:sz w:val="20"/>
                <w:szCs w:val="20"/>
              </w:rPr>
            </w:pPr>
            <w:r w:rsidRPr="00302C28">
              <w:rPr>
                <w:rFonts w:cs="Calibri"/>
                <w:sz w:val="20"/>
                <w:szCs w:val="20"/>
              </w:rPr>
              <w:t>Standards 4.4.c, 4.4.c.1 - 4.4.c.3</w:t>
            </w:r>
          </w:p>
        </w:tc>
      </w:tr>
      <w:tr w:rsidR="00AC0C7F" w:rsidRPr="0053571B" w14:paraId="1B802DFF" w14:textId="77777777" w:rsidTr="00E24ADA">
        <w:trPr>
          <w:cnfStyle w:val="000000100000" w:firstRow="0" w:lastRow="0" w:firstColumn="0" w:lastColumn="0" w:oddVBand="0" w:evenVBand="0" w:oddHBand="1" w:evenHBand="0" w:firstRowFirstColumn="0" w:firstRowLastColumn="0" w:lastRowFirstColumn="0" w:lastRowLastColumn="0"/>
          <w:trHeight w:val="790"/>
        </w:trPr>
        <w:tc>
          <w:tcPr>
            <w:cnfStyle w:val="000010000000" w:firstRow="0" w:lastRow="0" w:firstColumn="0" w:lastColumn="0" w:oddVBand="1" w:evenVBand="0" w:oddHBand="0" w:evenHBand="0" w:firstRowFirstColumn="0" w:firstRowLastColumn="0" w:lastRowFirstColumn="0" w:lastRowLastColumn="0"/>
            <w:tcW w:w="2520" w:type="dxa"/>
          </w:tcPr>
          <w:p w14:paraId="1B802DFC"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 xml:space="preserve">Preceptor Development </w:t>
            </w:r>
          </w:p>
        </w:tc>
        <w:tc>
          <w:tcPr>
            <w:tcW w:w="6238" w:type="dxa"/>
            <w:gridSpan w:val="3"/>
          </w:tcPr>
          <w:p w14:paraId="1B802DFD" w14:textId="1B6F5EB2" w:rsidR="00AC0C7F" w:rsidRPr="006075DD" w:rsidRDefault="008045A3"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the current year’s preceptor development plan, including </w:t>
            </w:r>
            <w:r w:rsidR="00AC0C7F">
              <w:rPr>
                <w:rFonts w:cs="Calibri"/>
                <w:sz w:val="20"/>
                <w:szCs w:val="20"/>
              </w:rPr>
              <w:t xml:space="preserve">the preceptor development </w:t>
            </w:r>
            <w:r w:rsidR="00AC0C7F" w:rsidRPr="00DA7468">
              <w:rPr>
                <w:rFonts w:cs="Calibri"/>
                <w:sz w:val="20"/>
                <w:szCs w:val="20"/>
              </w:rPr>
              <w:t>schedule</w:t>
            </w:r>
            <w:r w:rsidR="00AC0C7F">
              <w:rPr>
                <w:rFonts w:cs="Calibri"/>
                <w:sz w:val="20"/>
                <w:szCs w:val="20"/>
              </w:rPr>
              <w:t xml:space="preserve"> and topics </w:t>
            </w:r>
            <w:r w:rsidR="00AC0C7F" w:rsidRPr="00302C28">
              <w:rPr>
                <w:rFonts w:cs="Calibri"/>
                <w:sz w:val="20"/>
                <w:szCs w:val="20"/>
              </w:rPr>
              <w:t xml:space="preserve">and evidence of preceptor participation. </w:t>
            </w:r>
          </w:p>
        </w:tc>
        <w:tc>
          <w:tcPr>
            <w:cnfStyle w:val="000010000000" w:firstRow="0" w:lastRow="0" w:firstColumn="0" w:lastColumn="0" w:oddVBand="1" w:evenVBand="0" w:oddHBand="0" w:evenHBand="0" w:firstRowFirstColumn="0" w:firstRowLastColumn="0" w:lastRowFirstColumn="0" w:lastRowLastColumn="0"/>
            <w:tcW w:w="1798" w:type="dxa"/>
          </w:tcPr>
          <w:p w14:paraId="1B802DFE" w14:textId="77777777" w:rsidR="00AC0C7F" w:rsidRPr="00D7784F" w:rsidRDefault="00AC0C7F" w:rsidP="00AC0C7F">
            <w:pPr>
              <w:autoSpaceDE w:val="0"/>
              <w:autoSpaceDN w:val="0"/>
              <w:adjustRightInd w:val="0"/>
              <w:jc w:val="center"/>
              <w:rPr>
                <w:rFonts w:cs="Calibri"/>
                <w:sz w:val="20"/>
                <w:szCs w:val="20"/>
              </w:rPr>
            </w:pPr>
            <w:r w:rsidRPr="00D7784F">
              <w:rPr>
                <w:rFonts w:cs="Calibri"/>
                <w:sz w:val="20"/>
                <w:szCs w:val="20"/>
              </w:rPr>
              <w:t>Standards  4.4.d and 4.4.d.1</w:t>
            </w:r>
          </w:p>
        </w:tc>
      </w:tr>
      <w:tr w:rsidR="00AC0C7F" w:rsidRPr="0053571B" w14:paraId="1B802E04" w14:textId="77777777" w:rsidTr="00E24ADA">
        <w:trPr>
          <w:trHeight w:val="251"/>
        </w:trPr>
        <w:tc>
          <w:tcPr>
            <w:cnfStyle w:val="000010000000" w:firstRow="0" w:lastRow="0" w:firstColumn="0" w:lastColumn="0" w:oddVBand="1" w:evenVBand="0" w:oddHBand="0" w:evenHBand="0" w:firstRowFirstColumn="0" w:firstRowLastColumn="0" w:lastRowFirstColumn="0" w:lastRowLastColumn="0"/>
            <w:tcW w:w="2520" w:type="dxa"/>
          </w:tcPr>
          <w:p w14:paraId="1B802E00" w14:textId="77777777" w:rsidR="00AC0C7F" w:rsidRPr="00965246" w:rsidRDefault="00AC0C7F" w:rsidP="00AC0C7F">
            <w:pPr>
              <w:rPr>
                <w:rFonts w:cs="Calibri"/>
                <w:sz w:val="20"/>
                <w:szCs w:val="20"/>
              </w:rPr>
            </w:pPr>
            <w:r w:rsidRPr="00223E4D">
              <w:rPr>
                <w:rFonts w:cs="Calibri"/>
                <w:b/>
                <w:bCs/>
                <w:sz w:val="20"/>
                <w:szCs w:val="20"/>
              </w:rPr>
              <w:t xml:space="preserve">Preceptor Roster </w:t>
            </w:r>
          </w:p>
        </w:tc>
        <w:tc>
          <w:tcPr>
            <w:tcW w:w="3934" w:type="dxa"/>
          </w:tcPr>
          <w:p w14:paraId="26606976" w14:textId="3B1E411F" w:rsidR="007951B5" w:rsidRDefault="008045A3"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223E4D">
              <w:rPr>
                <w:rFonts w:cs="Calibri"/>
                <w:sz w:val="20"/>
                <w:szCs w:val="20"/>
              </w:rPr>
              <w:t xml:space="preserve">ubmit the completed </w:t>
            </w:r>
            <w:r w:rsidR="00AC0C7F" w:rsidRPr="00223E4D">
              <w:rPr>
                <w:rFonts w:cs="Calibri"/>
                <w:i/>
                <w:sz w:val="20"/>
                <w:szCs w:val="20"/>
              </w:rPr>
              <w:t xml:space="preserve">Preceptor Roster and Requirements </w:t>
            </w:r>
            <w:r w:rsidR="00AC0C7F" w:rsidRPr="00DA7468">
              <w:rPr>
                <w:rFonts w:cs="Calibri"/>
                <w:sz w:val="20"/>
                <w:szCs w:val="20"/>
              </w:rPr>
              <w:t xml:space="preserve">form. Preceptors should be listed in </w:t>
            </w:r>
            <w:r w:rsidR="00AC0C7F" w:rsidRPr="00302C28">
              <w:rPr>
                <w:rFonts w:cs="Calibri"/>
                <w:b/>
                <w:sz w:val="20"/>
                <w:szCs w:val="20"/>
              </w:rPr>
              <w:t>alphabetical order by last name</w:t>
            </w:r>
            <w:r w:rsidR="00AC0C7F" w:rsidRPr="006075DD">
              <w:rPr>
                <w:rFonts w:cs="Calibri"/>
                <w:sz w:val="20"/>
                <w:szCs w:val="20"/>
              </w:rPr>
              <w:t>. Non-pharmacist preceptors should also be included and identified as such.</w:t>
            </w:r>
            <w:r w:rsidR="00AC0C7F" w:rsidRPr="00D7784F">
              <w:rPr>
                <w:rFonts w:cs="Calibri"/>
                <w:sz w:val="20"/>
                <w:szCs w:val="20"/>
              </w:rPr>
              <w:t xml:space="preserve"> </w:t>
            </w:r>
          </w:p>
          <w:p w14:paraId="1B802E01" w14:textId="1A4042A4" w:rsidR="00AC0C7F" w:rsidRPr="00DA7468"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sidRPr="00D7784F">
              <w:rPr>
                <w:rFonts w:cs="Calibri"/>
                <w:sz w:val="20"/>
                <w:szCs w:val="20"/>
              </w:rPr>
              <w:t>NOTE: For multi-program surveys,</w:t>
            </w:r>
            <w:r w:rsidR="00231EC0">
              <w:rPr>
                <w:rFonts w:cs="Calibri"/>
                <w:sz w:val="20"/>
                <w:szCs w:val="20"/>
              </w:rPr>
              <w:t xml:space="preserve"> </w:t>
            </w:r>
            <w:r>
              <w:rPr>
                <w:rFonts w:cs="Calibri"/>
                <w:sz w:val="20"/>
                <w:szCs w:val="20"/>
              </w:rPr>
              <w:t xml:space="preserve">use the Multi-program Roster </w:t>
            </w:r>
            <w:bookmarkStart w:id="5" w:name="_Hlk155773676"/>
            <w:r>
              <w:rPr>
                <w:rFonts w:cs="Calibri"/>
                <w:sz w:val="20"/>
                <w:szCs w:val="20"/>
              </w:rPr>
              <w:t>(</w:t>
            </w:r>
            <w:r w:rsidRPr="00B51D86">
              <w:rPr>
                <w:rFonts w:cs="Calibri"/>
                <w:color w:val="C00000"/>
                <w:sz w:val="20"/>
                <w:szCs w:val="20"/>
              </w:rPr>
              <w:t>see</w:t>
            </w:r>
            <w:r w:rsidRPr="00D7784F">
              <w:rPr>
                <w:rFonts w:cs="Calibri"/>
                <w:sz w:val="20"/>
                <w:szCs w:val="20"/>
              </w:rPr>
              <w:t xml:space="preserve"> </w:t>
            </w:r>
            <w:bookmarkStart w:id="6" w:name="_Hlk155774079"/>
            <w:r w:rsidRPr="00B51D86">
              <w:rPr>
                <w:rFonts w:cs="Calibri"/>
                <w:color w:val="C00000"/>
                <w:sz w:val="20"/>
                <w:szCs w:val="20"/>
              </w:rPr>
              <w:t xml:space="preserve">Multi-program Process in the </w:t>
            </w:r>
            <w:bookmarkStart w:id="7" w:name="_Hlk177060394"/>
            <w:r>
              <w:fldChar w:fldCharType="begin"/>
            </w:r>
            <w:r w:rsidR="00A01C9C">
              <w:instrText>HYPERLINK "https://www.ashp.org/professional-development/residency-information/residency-program-resources/residency-accreditation/residency-accreditation-survey-readiness"</w:instrText>
            </w:r>
            <w:r>
              <w:fldChar w:fldCharType="separate"/>
            </w:r>
            <w:r w:rsidRPr="00C9017E">
              <w:rPr>
                <w:rStyle w:val="Hyperlink"/>
                <w:rFonts w:cstheme="minorBidi"/>
                <w:szCs w:val="20"/>
              </w:rPr>
              <w:t>OVERVIEW AND INSTRUCTIONS-PREPARING FOR YOUR SURVEY VISIT</w:t>
            </w:r>
            <w:bookmarkEnd w:id="6"/>
            <w:r>
              <w:rPr>
                <w:rStyle w:val="Hyperlink"/>
                <w:szCs w:val="20"/>
              </w:rPr>
              <w:fldChar w:fldCharType="end"/>
            </w:r>
            <w:bookmarkEnd w:id="5"/>
            <w:bookmarkEnd w:id="7"/>
          </w:p>
        </w:tc>
        <w:bookmarkStart w:id="8" w:name="_Hlk177060368"/>
        <w:tc>
          <w:tcPr>
            <w:cnfStyle w:val="000010000000" w:firstRow="0" w:lastRow="0" w:firstColumn="0" w:lastColumn="0" w:oddVBand="1" w:evenVBand="0" w:oddHBand="0" w:evenHBand="0" w:firstRowFirstColumn="0" w:firstRowLastColumn="0" w:lastRowFirstColumn="0" w:lastRowLastColumn="0"/>
            <w:tcW w:w="2304" w:type="dxa"/>
            <w:gridSpan w:val="2"/>
          </w:tcPr>
          <w:p w14:paraId="2019E763" w14:textId="35927C1C" w:rsidR="00AC0C7F" w:rsidRPr="00C9017E" w:rsidRDefault="00AC0C7F" w:rsidP="00AC0C7F">
            <w:pPr>
              <w:autoSpaceDE w:val="0"/>
              <w:autoSpaceDN w:val="0"/>
              <w:adjustRightInd w:val="0"/>
              <w:rPr>
                <w:rFonts w:cs="Calibri"/>
                <w:sz w:val="20"/>
                <w:szCs w:val="20"/>
              </w:rPr>
            </w:pPr>
            <w:r>
              <w:rPr>
                <w:rFonts w:cstheme="minorBidi"/>
              </w:rPr>
              <w:fldChar w:fldCharType="begin"/>
            </w:r>
            <w:r w:rsidR="00535972">
              <w:rPr>
                <w:rFonts w:cstheme="minorBidi"/>
              </w:rPr>
              <w:instrText>HYPERLINK "https://www.ashp.org/professional-development/residency-information/residency-program-resources/residency-accreditation/residency-accreditation-survey-readiness"</w:instrText>
            </w:r>
            <w:r w:rsidR="00535972">
              <w:rPr>
                <w:rFonts w:cstheme="minorBidi"/>
              </w:rPr>
            </w:r>
            <w:r>
              <w:rPr>
                <w:rFonts w:cstheme="minorBidi"/>
              </w:rPr>
              <w:fldChar w:fldCharType="separate"/>
            </w:r>
            <w:r w:rsidRPr="00C9017E">
              <w:rPr>
                <w:rStyle w:val="Hyperlink"/>
                <w:rFonts w:eastAsia="Times New Roman" w:cs="Calibri"/>
                <w:sz w:val="20"/>
                <w:szCs w:val="20"/>
              </w:rPr>
              <w:t>Preceptor Roster</w:t>
            </w:r>
            <w:r w:rsidRPr="00C9017E">
              <w:rPr>
                <w:rStyle w:val="Hyperlink"/>
                <w:rFonts w:cs="Calibri"/>
                <w:sz w:val="20"/>
                <w:szCs w:val="20"/>
              </w:rPr>
              <w:t xml:space="preserve">  - Single Program</w:t>
            </w:r>
            <w:r>
              <w:rPr>
                <w:rStyle w:val="Hyperlink"/>
                <w:rFonts w:cs="Calibri"/>
                <w:sz w:val="20"/>
                <w:szCs w:val="20"/>
              </w:rPr>
              <w:fldChar w:fldCharType="end"/>
            </w:r>
            <w:r w:rsidRPr="00C9017E">
              <w:rPr>
                <w:rFonts w:cs="Calibri"/>
                <w:sz w:val="20"/>
                <w:szCs w:val="20"/>
              </w:rPr>
              <w:t xml:space="preserve"> </w:t>
            </w:r>
          </w:p>
          <w:bookmarkEnd w:id="8"/>
          <w:p w14:paraId="3A4702D7" w14:textId="77777777" w:rsidR="00AC0C7F" w:rsidRPr="00DA7468" w:rsidRDefault="00AC0C7F" w:rsidP="00AC0C7F">
            <w:pPr>
              <w:autoSpaceDE w:val="0"/>
              <w:autoSpaceDN w:val="0"/>
              <w:adjustRightInd w:val="0"/>
              <w:rPr>
                <w:rFonts w:cs="Calibri"/>
                <w:color w:val="C00000"/>
                <w:sz w:val="20"/>
                <w:szCs w:val="20"/>
              </w:rPr>
            </w:pPr>
          </w:p>
          <w:bookmarkStart w:id="9" w:name="_Hlk177060380"/>
          <w:p w14:paraId="1B802E02" w14:textId="17B382A7" w:rsidR="00AC0C7F" w:rsidRPr="00223E4D" w:rsidRDefault="00AC0C7F" w:rsidP="00AC0C7F">
            <w:pPr>
              <w:autoSpaceDE w:val="0"/>
              <w:autoSpaceDN w:val="0"/>
              <w:adjustRightInd w:val="0"/>
              <w:rPr>
                <w:rFonts w:cs="Calibri"/>
                <w:sz w:val="20"/>
                <w:szCs w:val="20"/>
              </w:rPr>
            </w:pPr>
            <w:r>
              <w:rPr>
                <w:rFonts w:cstheme="minorBidi"/>
              </w:rPr>
              <w:fldChar w:fldCharType="begin"/>
            </w:r>
            <w:r w:rsidR="00535972">
              <w:rPr>
                <w:rFonts w:cstheme="minorBidi"/>
              </w:rPr>
              <w:instrText>HYPERLINK "https://www.ashp.org/professional-development/residency-information/residency-program-resources/residency-accreditation/residency-accreditation-survey-readiness"</w:instrText>
            </w:r>
            <w:r w:rsidR="00535972">
              <w:rPr>
                <w:rFonts w:cstheme="minorBidi"/>
              </w:rPr>
            </w:r>
            <w:r>
              <w:rPr>
                <w:rFonts w:cstheme="minorBidi"/>
              </w:rPr>
              <w:fldChar w:fldCharType="separate"/>
            </w:r>
            <w:r w:rsidRPr="00C9017E">
              <w:rPr>
                <w:rStyle w:val="Hyperlink"/>
                <w:rFonts w:cs="Calibri"/>
                <w:sz w:val="20"/>
                <w:szCs w:val="20"/>
              </w:rPr>
              <w:t>Preceptor Roster – Multi-program</w:t>
            </w:r>
            <w:r>
              <w:rPr>
                <w:rStyle w:val="Hyperlink"/>
                <w:rFonts w:cs="Calibri"/>
                <w:sz w:val="20"/>
                <w:szCs w:val="20"/>
              </w:rPr>
              <w:fldChar w:fldCharType="end"/>
            </w:r>
            <w:bookmarkEnd w:id="9"/>
          </w:p>
        </w:tc>
        <w:tc>
          <w:tcPr>
            <w:tcW w:w="1798" w:type="dxa"/>
          </w:tcPr>
          <w:p w14:paraId="1B802E03" w14:textId="77777777" w:rsidR="00AC0C7F" w:rsidRPr="00302C28" w:rsidRDefault="00AC0C7F" w:rsidP="00AC0C7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DA7468">
              <w:rPr>
                <w:rFonts w:cs="Calibri"/>
                <w:sz w:val="20"/>
                <w:szCs w:val="20"/>
              </w:rPr>
              <w:t>Standards 4.5 and 4.6</w:t>
            </w:r>
          </w:p>
        </w:tc>
      </w:tr>
      <w:tr w:rsidR="00AC0C7F" w:rsidRPr="0053571B" w14:paraId="1B802E0A" w14:textId="77777777" w:rsidTr="00EB0959">
        <w:trPr>
          <w:cnfStyle w:val="000000100000" w:firstRow="0" w:lastRow="0" w:firstColumn="0" w:lastColumn="0" w:oddVBand="0" w:evenVBand="0" w:oddHBand="1" w:evenHBand="0" w:firstRowFirstColumn="0" w:firstRowLastColumn="0" w:lastRowFirstColumn="0" w:lastRowLastColumn="0"/>
          <w:trHeight w:val="979"/>
        </w:trPr>
        <w:tc>
          <w:tcPr>
            <w:cnfStyle w:val="000010000000" w:firstRow="0" w:lastRow="0" w:firstColumn="0" w:lastColumn="0" w:oddVBand="1" w:evenVBand="0" w:oddHBand="0" w:evenHBand="0" w:firstRowFirstColumn="0" w:firstRowLastColumn="0" w:lastRowFirstColumn="0" w:lastRowLastColumn="0"/>
            <w:tcW w:w="2520" w:type="dxa"/>
          </w:tcPr>
          <w:p w14:paraId="2696CE9E" w14:textId="41C0D391" w:rsidR="00AC0C7F" w:rsidRPr="00C86DB5" w:rsidRDefault="00AC0C7F" w:rsidP="00AC0C7F">
            <w:pPr>
              <w:rPr>
                <w:rFonts w:cs="Calibri"/>
                <w:sz w:val="20"/>
                <w:szCs w:val="20"/>
              </w:rPr>
            </w:pPr>
            <w:r w:rsidRPr="00223E4D">
              <w:rPr>
                <w:rFonts w:cs="Calibri"/>
                <w:b/>
                <w:bCs/>
                <w:sz w:val="20"/>
                <w:szCs w:val="20"/>
              </w:rPr>
              <w:t xml:space="preserve">Preceptors’ APR Forms </w:t>
            </w:r>
          </w:p>
          <w:p w14:paraId="3641F196" w14:textId="77777777" w:rsidR="00AC0C7F" w:rsidRPr="00C86DB5" w:rsidRDefault="00AC0C7F" w:rsidP="00AC0C7F">
            <w:pPr>
              <w:rPr>
                <w:rFonts w:cs="Calibri"/>
                <w:sz w:val="20"/>
                <w:szCs w:val="20"/>
              </w:rPr>
            </w:pPr>
          </w:p>
          <w:p w14:paraId="4A995F65" w14:textId="77777777" w:rsidR="00AC0C7F" w:rsidRPr="00C86DB5" w:rsidRDefault="00AC0C7F" w:rsidP="00AC0C7F">
            <w:pPr>
              <w:rPr>
                <w:rFonts w:cs="Calibri"/>
                <w:sz w:val="20"/>
                <w:szCs w:val="20"/>
              </w:rPr>
            </w:pPr>
          </w:p>
          <w:p w14:paraId="4893297A" w14:textId="77777777" w:rsidR="00AC0C7F" w:rsidRPr="00C86DB5" w:rsidRDefault="00AC0C7F" w:rsidP="00AC0C7F">
            <w:pPr>
              <w:rPr>
                <w:rFonts w:cs="Calibri"/>
                <w:sz w:val="20"/>
                <w:szCs w:val="20"/>
              </w:rPr>
            </w:pPr>
          </w:p>
          <w:p w14:paraId="1B802E05" w14:textId="77777777" w:rsidR="00AC0C7F" w:rsidRPr="00C86DB5" w:rsidRDefault="00AC0C7F" w:rsidP="00AC0C7F">
            <w:pPr>
              <w:rPr>
                <w:rFonts w:cs="Calibri"/>
                <w:sz w:val="20"/>
                <w:szCs w:val="20"/>
              </w:rPr>
            </w:pPr>
          </w:p>
        </w:tc>
        <w:tc>
          <w:tcPr>
            <w:tcW w:w="3934" w:type="dxa"/>
          </w:tcPr>
          <w:p w14:paraId="1B802E06" w14:textId="6F7F1B3D" w:rsidR="00AC0C7F" w:rsidRPr="00223E4D" w:rsidRDefault="00F20566" w:rsidP="00EB09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If not already available in PharmAcademic, s</w:t>
            </w:r>
            <w:r w:rsidRPr="00DA7468">
              <w:rPr>
                <w:rFonts w:cs="Calibri"/>
                <w:sz w:val="20"/>
                <w:szCs w:val="20"/>
              </w:rPr>
              <w:t xml:space="preserve">ubmit </w:t>
            </w:r>
            <w:r>
              <w:rPr>
                <w:rFonts w:cs="Calibri"/>
                <w:sz w:val="20"/>
                <w:szCs w:val="20"/>
              </w:rPr>
              <w:t xml:space="preserve">all </w:t>
            </w:r>
            <w:r w:rsidR="00C5370B">
              <w:rPr>
                <w:rFonts w:cs="Calibri"/>
                <w:sz w:val="20"/>
                <w:szCs w:val="20"/>
              </w:rPr>
              <w:t xml:space="preserve">pharmacist </w:t>
            </w:r>
            <w:r>
              <w:rPr>
                <w:rFonts w:cs="Calibri"/>
                <w:sz w:val="20"/>
                <w:szCs w:val="20"/>
              </w:rPr>
              <w:t>preceptors’</w:t>
            </w:r>
            <w:r w:rsidRPr="00DA7468">
              <w:rPr>
                <w:rFonts w:cs="Calibri"/>
                <w:sz w:val="20"/>
                <w:szCs w:val="20"/>
              </w:rPr>
              <w:t xml:space="preserve"> </w:t>
            </w:r>
            <w:r w:rsidRPr="00DA7468">
              <w:rPr>
                <w:rFonts w:cs="Calibri"/>
                <w:i/>
                <w:sz w:val="20"/>
                <w:szCs w:val="20"/>
              </w:rPr>
              <w:t>Academic and Professional Record (APR)</w:t>
            </w:r>
            <w:r w:rsidRPr="00302C28">
              <w:rPr>
                <w:rFonts w:cs="Calibri"/>
                <w:sz w:val="20"/>
                <w:szCs w:val="20"/>
              </w:rPr>
              <w:t xml:space="preserve"> form</w:t>
            </w:r>
            <w:r w:rsidR="00C5370B">
              <w:rPr>
                <w:rFonts w:cs="Calibri"/>
                <w:sz w:val="20"/>
                <w:szCs w:val="20"/>
              </w:rPr>
              <w:t>s</w:t>
            </w:r>
            <w:r w:rsidR="00ED5FB3">
              <w:rPr>
                <w:rFonts w:cs="Calibri"/>
                <w:sz w:val="20"/>
                <w:szCs w:val="20"/>
              </w:rPr>
              <w:t xml:space="preserve"> using most current version</w:t>
            </w:r>
            <w:r w:rsidR="00147E19">
              <w:rPr>
                <w:rFonts w:cs="Calibri"/>
                <w:sz w:val="20"/>
                <w:szCs w:val="20"/>
              </w:rPr>
              <w:t>.</w:t>
            </w:r>
            <w:r w:rsidR="00ED5FB3">
              <w:rPr>
                <w:rFonts w:cs="Calibri"/>
                <w:sz w:val="20"/>
                <w:szCs w:val="20"/>
              </w:rPr>
              <w:t xml:space="preserve"> </w:t>
            </w:r>
            <w:r w:rsidR="003317EF">
              <w:rPr>
                <w:rFonts w:cs="Calibri"/>
                <w:sz w:val="20"/>
                <w:szCs w:val="20"/>
              </w:rPr>
              <w:t>See link</w:t>
            </w:r>
            <w:r>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2304" w:type="dxa"/>
            <w:gridSpan w:val="2"/>
          </w:tcPr>
          <w:p w14:paraId="1B802E07" w14:textId="6A117F46" w:rsidR="00AC0C7F" w:rsidRPr="00223E4D" w:rsidRDefault="007F43C1" w:rsidP="00AC0C7F">
            <w:pPr>
              <w:autoSpaceDE w:val="0"/>
              <w:autoSpaceDN w:val="0"/>
              <w:adjustRightInd w:val="0"/>
              <w:rPr>
                <w:rFonts w:cs="Calibri"/>
                <w:color w:val="0070C0"/>
                <w:sz w:val="20"/>
                <w:szCs w:val="20"/>
              </w:rPr>
            </w:pPr>
            <w:hyperlink r:id="rId17" w:history="1">
              <w:r w:rsidRPr="0037093A">
                <w:rPr>
                  <w:rStyle w:val="Hyperlink"/>
                  <w:rFonts w:asciiTheme="minorHAnsi" w:eastAsiaTheme="minorHAnsi" w:hAnsiTheme="minorHAnsi" w:cs="Calibri"/>
                  <w:sz w:val="20"/>
                  <w:szCs w:val="20"/>
                </w:rPr>
                <w:t>APR Form (Academic and Professional Record)</w:t>
              </w:r>
            </w:hyperlink>
            <w:r>
              <w:rPr>
                <w:rFonts w:cs="Calibri"/>
                <w:sz w:val="20"/>
                <w:szCs w:val="20"/>
              </w:rPr>
              <w:t>.</w:t>
            </w:r>
          </w:p>
        </w:tc>
        <w:tc>
          <w:tcPr>
            <w:tcW w:w="1798" w:type="dxa"/>
          </w:tcPr>
          <w:p w14:paraId="1B802E09" w14:textId="74270F0E" w:rsidR="00AC0C7F" w:rsidRPr="006075DD" w:rsidRDefault="00AC0C7F" w:rsidP="00EB095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DA7468">
              <w:rPr>
                <w:rFonts w:cs="Calibri"/>
                <w:sz w:val="20"/>
                <w:szCs w:val="20"/>
              </w:rPr>
              <w:t xml:space="preserve">Standards </w:t>
            </w:r>
            <w:r>
              <w:rPr>
                <w:rFonts w:cs="Calibri"/>
                <w:sz w:val="20"/>
                <w:szCs w:val="20"/>
              </w:rPr>
              <w:t xml:space="preserve">4.2, 4.3, </w:t>
            </w:r>
            <w:r w:rsidRPr="00DA7468">
              <w:rPr>
                <w:rFonts w:cs="Calibri"/>
                <w:sz w:val="20"/>
                <w:szCs w:val="20"/>
              </w:rPr>
              <w:t>4.5, and 4.6</w:t>
            </w:r>
          </w:p>
        </w:tc>
      </w:tr>
      <w:tr w:rsidR="00AC0C7F" w:rsidRPr="0053571B" w14:paraId="1B802E0E" w14:textId="77777777" w:rsidTr="00EB0959">
        <w:trPr>
          <w:trHeight w:val="1069"/>
        </w:trPr>
        <w:tc>
          <w:tcPr>
            <w:cnfStyle w:val="000010000000" w:firstRow="0" w:lastRow="0" w:firstColumn="0" w:lastColumn="0" w:oddVBand="1" w:evenVBand="0" w:oddHBand="0" w:evenHBand="0" w:firstRowFirstColumn="0" w:firstRowLastColumn="0" w:lastRowFirstColumn="0" w:lastRowLastColumn="0"/>
            <w:tcW w:w="2520" w:type="dxa"/>
            <w:shd w:val="clear" w:color="auto" w:fill="auto"/>
          </w:tcPr>
          <w:p w14:paraId="1B802E0B" w14:textId="77777777" w:rsidR="00AC0C7F" w:rsidRPr="00DA7468" w:rsidRDefault="00AC0C7F" w:rsidP="00AC0C7F">
            <w:pPr>
              <w:rPr>
                <w:rFonts w:cs="Calibri"/>
                <w:b/>
                <w:bCs/>
                <w:sz w:val="20"/>
                <w:szCs w:val="20"/>
              </w:rPr>
            </w:pPr>
            <w:r w:rsidRPr="00223E4D">
              <w:rPr>
                <w:rFonts w:cs="Calibri"/>
                <w:b/>
                <w:bCs/>
                <w:sz w:val="20"/>
                <w:szCs w:val="20"/>
              </w:rPr>
              <w:t>Privileging Policies</w:t>
            </w:r>
          </w:p>
        </w:tc>
        <w:tc>
          <w:tcPr>
            <w:tcW w:w="6238" w:type="dxa"/>
            <w:gridSpan w:val="3"/>
          </w:tcPr>
          <w:p w14:paraId="1B802E0C" w14:textId="5E6C194A" w:rsidR="00AC0C7F" w:rsidRPr="006075DD" w:rsidRDefault="00224F9A"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If applicable, s</w:t>
            </w:r>
            <w:r w:rsidR="00AC0C7F" w:rsidRPr="00302C28">
              <w:rPr>
                <w:rFonts w:cs="Calibri"/>
                <w:sz w:val="20"/>
                <w:szCs w:val="20"/>
              </w:rPr>
              <w:t>ubmit policies which outline the criteria for pharmacist privileging and credentialing at the practice site/organization. If this doesn’t apply to the practice site, please mark this item as N/A on the Document Checklist.</w:t>
            </w:r>
          </w:p>
        </w:tc>
        <w:tc>
          <w:tcPr>
            <w:cnfStyle w:val="000010000000" w:firstRow="0" w:lastRow="0" w:firstColumn="0" w:lastColumn="0" w:oddVBand="1" w:evenVBand="0" w:oddHBand="0" w:evenHBand="0" w:firstRowFirstColumn="0" w:firstRowLastColumn="0" w:lastRowFirstColumn="0" w:lastRowLastColumn="0"/>
            <w:tcW w:w="1798" w:type="dxa"/>
          </w:tcPr>
          <w:p w14:paraId="1B802E0D" w14:textId="1C2FEDF1" w:rsidR="00AC0C7F" w:rsidRPr="00965246" w:rsidRDefault="00AC0C7F" w:rsidP="00AC0C7F">
            <w:pPr>
              <w:autoSpaceDE w:val="0"/>
              <w:autoSpaceDN w:val="0"/>
              <w:adjustRightInd w:val="0"/>
              <w:jc w:val="center"/>
              <w:rPr>
                <w:rFonts w:cs="Calibri"/>
                <w:sz w:val="20"/>
                <w:szCs w:val="20"/>
              </w:rPr>
            </w:pPr>
            <w:r w:rsidRPr="00D7784F">
              <w:rPr>
                <w:rFonts w:cs="Calibri"/>
                <w:sz w:val="20"/>
                <w:szCs w:val="20"/>
              </w:rPr>
              <w:t>Standard</w:t>
            </w:r>
            <w:r w:rsidR="00CF085B">
              <w:rPr>
                <w:rFonts w:cs="Calibri"/>
                <w:sz w:val="20"/>
                <w:szCs w:val="20"/>
              </w:rPr>
              <w:t>s</w:t>
            </w:r>
            <w:r w:rsidRPr="00D7784F">
              <w:rPr>
                <w:rFonts w:cs="Calibri"/>
                <w:sz w:val="20"/>
                <w:szCs w:val="20"/>
              </w:rPr>
              <w:t xml:space="preserve"> 4.6.a</w:t>
            </w:r>
            <w:r w:rsidR="00CF085B">
              <w:rPr>
                <w:rFonts w:cs="Calibri"/>
                <w:sz w:val="20"/>
                <w:szCs w:val="20"/>
              </w:rPr>
              <w:t xml:space="preserve"> and 5.1.c.3</w:t>
            </w:r>
            <w:r w:rsidRPr="00D7784F">
              <w:rPr>
                <w:rFonts w:cs="Calibri"/>
                <w:sz w:val="20"/>
                <w:szCs w:val="20"/>
              </w:rPr>
              <w:t xml:space="preserve"> (Guidance)</w:t>
            </w:r>
          </w:p>
        </w:tc>
      </w:tr>
      <w:tr w:rsidR="00AC0C7F" w:rsidRPr="0053571B" w14:paraId="1B802E12" w14:textId="77777777" w:rsidTr="00E24ADA">
        <w:trPr>
          <w:cnfStyle w:val="000000100000" w:firstRow="0" w:lastRow="0" w:firstColumn="0" w:lastColumn="0" w:oddVBand="0" w:evenVBand="0" w:oddHBand="1" w:evenHBand="0" w:firstRowFirstColumn="0" w:firstRowLastColumn="0" w:lastRowFirstColumn="0" w:lastRowLastColumn="0"/>
          <w:trHeight w:val="790"/>
        </w:trPr>
        <w:tc>
          <w:tcPr>
            <w:cnfStyle w:val="000010000000" w:firstRow="0" w:lastRow="0" w:firstColumn="0" w:lastColumn="0" w:oddVBand="1" w:evenVBand="0" w:oddHBand="0" w:evenHBand="0" w:firstRowFirstColumn="0" w:firstRowLastColumn="0" w:lastRowFirstColumn="0" w:lastRowLastColumn="0"/>
            <w:tcW w:w="2520" w:type="dxa"/>
          </w:tcPr>
          <w:p w14:paraId="1B802E0F" w14:textId="77777777" w:rsidR="00AC0C7F" w:rsidRPr="00223E4D" w:rsidRDefault="00AC0C7F" w:rsidP="00AC0C7F">
            <w:pPr>
              <w:rPr>
                <w:rFonts w:cs="Calibri"/>
                <w:b/>
                <w:bCs/>
                <w:sz w:val="20"/>
                <w:szCs w:val="20"/>
              </w:rPr>
            </w:pPr>
            <w:r w:rsidRPr="00223E4D">
              <w:rPr>
                <w:rFonts w:cs="Calibri"/>
                <w:b/>
                <w:bCs/>
                <w:sz w:val="20"/>
                <w:szCs w:val="20"/>
              </w:rPr>
              <w:t>Individualized Preceptor Development Plan</w:t>
            </w:r>
          </w:p>
        </w:tc>
        <w:tc>
          <w:tcPr>
            <w:tcW w:w="6238" w:type="dxa"/>
            <w:gridSpan w:val="3"/>
          </w:tcPr>
          <w:p w14:paraId="1B802E10" w14:textId="0090577B" w:rsidR="00EB0959" w:rsidRPr="006075DD" w:rsidRDefault="00AC0C7F" w:rsidP="00EB09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sidRPr="00DA7468">
              <w:rPr>
                <w:rFonts w:cs="Calibri"/>
                <w:sz w:val="20"/>
                <w:szCs w:val="20"/>
              </w:rPr>
              <w:t xml:space="preserve">For those </w:t>
            </w:r>
            <w:r w:rsidRPr="00DA7468">
              <w:rPr>
                <w:rFonts w:cs="Calibri"/>
                <w:sz w:val="20"/>
                <w:szCs w:val="20"/>
                <w:u w:val="single"/>
              </w:rPr>
              <w:t>preceptors who do not meet preceptor qualifications</w:t>
            </w:r>
            <w:r w:rsidRPr="00DA7468">
              <w:rPr>
                <w:rFonts w:cs="Calibri"/>
                <w:sz w:val="20"/>
                <w:szCs w:val="20"/>
              </w:rPr>
              <w:t>,</w:t>
            </w:r>
            <w:r w:rsidR="004F08F8">
              <w:rPr>
                <w:rFonts w:cs="Calibri"/>
                <w:sz w:val="20"/>
                <w:szCs w:val="20"/>
              </w:rPr>
              <w:t xml:space="preserve"> </w:t>
            </w:r>
            <w:r w:rsidRPr="00DA7468">
              <w:rPr>
                <w:rFonts w:cs="Calibri"/>
                <w:sz w:val="20"/>
                <w:szCs w:val="20"/>
              </w:rPr>
              <w:t xml:space="preserve">submit a documented, individualized preceptor development plan that will enable the preceptor to achieve </w:t>
            </w:r>
            <w:r w:rsidRPr="00302C28">
              <w:rPr>
                <w:rFonts w:cs="Calibri"/>
                <w:sz w:val="20"/>
                <w:szCs w:val="20"/>
              </w:rPr>
              <w:t>qualifications within two years. If all preceptors meet preceptor qualifications, mark as NA.</w:t>
            </w:r>
          </w:p>
        </w:tc>
        <w:tc>
          <w:tcPr>
            <w:cnfStyle w:val="000010000000" w:firstRow="0" w:lastRow="0" w:firstColumn="0" w:lastColumn="0" w:oddVBand="1" w:evenVBand="0" w:oddHBand="0" w:evenHBand="0" w:firstRowFirstColumn="0" w:firstRowLastColumn="0" w:lastRowFirstColumn="0" w:lastRowLastColumn="0"/>
            <w:tcW w:w="1798" w:type="dxa"/>
          </w:tcPr>
          <w:p w14:paraId="1B802E11" w14:textId="77777777" w:rsidR="00AC0C7F" w:rsidRPr="00D7784F" w:rsidRDefault="00AC0C7F" w:rsidP="00AC0C7F">
            <w:pPr>
              <w:autoSpaceDE w:val="0"/>
              <w:autoSpaceDN w:val="0"/>
              <w:adjustRightInd w:val="0"/>
              <w:jc w:val="center"/>
              <w:rPr>
                <w:rFonts w:cs="Calibri"/>
                <w:sz w:val="20"/>
                <w:szCs w:val="20"/>
              </w:rPr>
            </w:pPr>
            <w:r w:rsidRPr="00D7784F">
              <w:rPr>
                <w:rFonts w:cs="Calibri"/>
                <w:sz w:val="20"/>
                <w:szCs w:val="20"/>
              </w:rPr>
              <w:t>Standard 4.6.d</w:t>
            </w:r>
          </w:p>
        </w:tc>
      </w:tr>
      <w:tr w:rsidR="00AC0C7F" w:rsidRPr="0053571B" w14:paraId="1B802E15" w14:textId="77777777" w:rsidTr="00E24ADA">
        <w:trPr>
          <w:trHeight w:val="520"/>
        </w:trPr>
        <w:tc>
          <w:tcPr>
            <w:cnfStyle w:val="000010000000" w:firstRow="0" w:lastRow="0" w:firstColumn="0" w:lastColumn="0" w:oddVBand="1" w:evenVBand="0" w:oddHBand="0" w:evenHBand="0" w:firstRowFirstColumn="0" w:firstRowLastColumn="0" w:lastRowFirstColumn="0" w:lastRowLastColumn="0"/>
            <w:tcW w:w="2520" w:type="dxa"/>
            <w:shd w:val="clear" w:color="auto" w:fill="C6D9F1"/>
          </w:tcPr>
          <w:p w14:paraId="1B802E13" w14:textId="77777777"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t>Standard 5:</w:t>
            </w:r>
          </w:p>
        </w:tc>
        <w:tc>
          <w:tcPr>
            <w:tcW w:w="8036" w:type="dxa"/>
            <w:gridSpan w:val="4"/>
            <w:shd w:val="clear" w:color="auto" w:fill="C6D9F1"/>
          </w:tcPr>
          <w:p w14:paraId="1B802E14" w14:textId="77777777" w:rsidR="00AC0C7F" w:rsidRPr="00DA7468" w:rsidRDefault="00AC0C7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DA7468">
              <w:rPr>
                <w:rFonts w:cs="Calibri"/>
                <w:b/>
                <w:sz w:val="20"/>
                <w:szCs w:val="20"/>
              </w:rPr>
              <w:t>Pharmacy Services</w:t>
            </w:r>
          </w:p>
        </w:tc>
      </w:tr>
      <w:tr w:rsidR="00AC0C7F" w:rsidRPr="0053571B" w14:paraId="1B802E2A" w14:textId="77777777" w:rsidTr="00E24ADA">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520" w:type="dxa"/>
          </w:tcPr>
          <w:p w14:paraId="1B802E1A" w14:textId="4F8B41DA" w:rsidR="00AC0C7F" w:rsidRPr="00223E4D" w:rsidRDefault="00AC0C7F" w:rsidP="00AC0C7F">
            <w:pPr>
              <w:rPr>
                <w:rFonts w:cs="Calibri"/>
                <w:b/>
                <w:bCs/>
                <w:sz w:val="20"/>
                <w:szCs w:val="20"/>
              </w:rPr>
            </w:pPr>
            <w:r w:rsidRPr="00223E4D">
              <w:rPr>
                <w:rFonts w:cs="Calibri"/>
                <w:b/>
                <w:bCs/>
                <w:sz w:val="20"/>
                <w:szCs w:val="20"/>
              </w:rPr>
              <w:t xml:space="preserve">Service Grids </w:t>
            </w:r>
          </w:p>
        </w:tc>
        <w:tc>
          <w:tcPr>
            <w:tcW w:w="6238" w:type="dxa"/>
            <w:gridSpan w:val="3"/>
          </w:tcPr>
          <w:p w14:paraId="28814A03" w14:textId="3CC4D859" w:rsidR="000234D6" w:rsidRDefault="006716E9"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C</w:t>
            </w:r>
            <w:r w:rsidR="00AC0C7F" w:rsidRPr="00DA7468">
              <w:rPr>
                <w:rFonts w:cs="Calibri"/>
                <w:sz w:val="20"/>
                <w:szCs w:val="20"/>
              </w:rPr>
              <w:t>omplete and submit the Pharmacy Services Grid(s) respective to your program type.</w:t>
            </w:r>
            <w:r w:rsidR="00AC0C7F">
              <w:rPr>
                <w:rFonts w:cs="Calibri"/>
                <w:sz w:val="20"/>
                <w:szCs w:val="20"/>
              </w:rPr>
              <w:t xml:space="preserve"> G</w:t>
            </w:r>
            <w:r w:rsidR="00AC0C7F" w:rsidRPr="00DA7468">
              <w:rPr>
                <w:rFonts w:cs="Calibri"/>
                <w:sz w:val="20"/>
                <w:szCs w:val="20"/>
              </w:rPr>
              <w:t xml:space="preserve">rids must be completed for </w:t>
            </w:r>
            <w:r w:rsidR="00230A98">
              <w:rPr>
                <w:rFonts w:cs="Calibri"/>
                <w:sz w:val="20"/>
                <w:szCs w:val="20"/>
              </w:rPr>
              <w:t>the</w:t>
            </w:r>
            <w:r w:rsidR="00AC0C7F" w:rsidRPr="00DA7468">
              <w:rPr>
                <w:rFonts w:cs="Calibri"/>
                <w:sz w:val="20"/>
                <w:szCs w:val="20"/>
              </w:rPr>
              <w:t xml:space="preserve"> </w:t>
            </w:r>
            <w:r w:rsidR="00331323">
              <w:rPr>
                <w:rFonts w:cs="Calibri"/>
                <w:sz w:val="20"/>
                <w:szCs w:val="20"/>
              </w:rPr>
              <w:t xml:space="preserve">primary </w:t>
            </w:r>
            <w:r w:rsidR="00AC0C7F" w:rsidRPr="00DA7468">
              <w:rPr>
                <w:rFonts w:cs="Calibri"/>
                <w:sz w:val="20"/>
                <w:szCs w:val="20"/>
              </w:rPr>
              <w:t>practice site</w:t>
            </w:r>
            <w:r w:rsidR="00B87F16">
              <w:rPr>
                <w:rFonts w:cs="Calibri"/>
                <w:sz w:val="20"/>
                <w:szCs w:val="20"/>
              </w:rPr>
              <w:t>. If</w:t>
            </w:r>
            <w:r w:rsidR="008B0C4E">
              <w:rPr>
                <w:rFonts w:cs="Calibri"/>
                <w:sz w:val="20"/>
                <w:szCs w:val="20"/>
              </w:rPr>
              <w:t xml:space="preserve"> the </w:t>
            </w:r>
            <w:r w:rsidR="00F50DFF">
              <w:rPr>
                <w:rFonts w:cs="Calibri"/>
                <w:sz w:val="20"/>
                <w:szCs w:val="20"/>
              </w:rPr>
              <w:t xml:space="preserve">program’s residents have </w:t>
            </w:r>
            <w:r w:rsidR="007A3061">
              <w:rPr>
                <w:rFonts w:cs="Calibri"/>
                <w:sz w:val="20"/>
                <w:szCs w:val="20"/>
              </w:rPr>
              <w:t xml:space="preserve">a required </w:t>
            </w:r>
            <w:r w:rsidR="00F50DFF">
              <w:rPr>
                <w:rFonts w:cs="Calibri"/>
                <w:sz w:val="20"/>
                <w:szCs w:val="20"/>
              </w:rPr>
              <w:t>staffing</w:t>
            </w:r>
            <w:r w:rsidR="007A3061">
              <w:rPr>
                <w:rFonts w:cs="Calibri"/>
                <w:sz w:val="20"/>
                <w:szCs w:val="20"/>
              </w:rPr>
              <w:t xml:space="preserve"> learning experience/service commitment</w:t>
            </w:r>
            <w:r w:rsidR="00F50DFF">
              <w:rPr>
                <w:rFonts w:cs="Calibri"/>
                <w:sz w:val="20"/>
                <w:szCs w:val="20"/>
              </w:rPr>
              <w:t xml:space="preserve"> </w:t>
            </w:r>
            <w:r w:rsidR="009A2405">
              <w:rPr>
                <w:rFonts w:cs="Calibri"/>
                <w:sz w:val="20"/>
                <w:szCs w:val="20"/>
              </w:rPr>
              <w:t xml:space="preserve">at </w:t>
            </w:r>
            <w:r w:rsidR="00B87E3C">
              <w:rPr>
                <w:rFonts w:cs="Calibri"/>
                <w:sz w:val="20"/>
                <w:szCs w:val="20"/>
              </w:rPr>
              <w:t xml:space="preserve">a </w:t>
            </w:r>
            <w:r w:rsidR="00CF7493">
              <w:rPr>
                <w:rFonts w:cs="Calibri"/>
                <w:sz w:val="20"/>
                <w:szCs w:val="20"/>
              </w:rPr>
              <w:t xml:space="preserve">site other than the program’s primary practice site (i.e., </w:t>
            </w:r>
            <w:r w:rsidR="009A2405">
              <w:rPr>
                <w:rFonts w:cs="Calibri"/>
                <w:sz w:val="20"/>
                <w:szCs w:val="20"/>
              </w:rPr>
              <w:t>a participating site</w:t>
            </w:r>
            <w:r w:rsidR="00CF7493">
              <w:rPr>
                <w:rFonts w:cs="Calibri"/>
                <w:sz w:val="20"/>
                <w:szCs w:val="20"/>
              </w:rPr>
              <w:t>)</w:t>
            </w:r>
            <w:r w:rsidR="00FD2C63">
              <w:rPr>
                <w:rFonts w:cs="Calibri"/>
                <w:sz w:val="20"/>
                <w:szCs w:val="20"/>
              </w:rPr>
              <w:t>,</w:t>
            </w:r>
            <w:r w:rsidR="009A2405">
              <w:rPr>
                <w:rFonts w:cs="Calibri"/>
                <w:sz w:val="20"/>
                <w:szCs w:val="20"/>
              </w:rPr>
              <w:t xml:space="preserve"> then a service</w:t>
            </w:r>
            <w:r w:rsidR="00D254C0">
              <w:rPr>
                <w:rFonts w:cs="Calibri"/>
                <w:sz w:val="20"/>
                <w:szCs w:val="20"/>
              </w:rPr>
              <w:t xml:space="preserve"> grid</w:t>
            </w:r>
            <w:r w:rsidR="009A2405">
              <w:rPr>
                <w:rFonts w:cs="Calibri"/>
                <w:sz w:val="20"/>
                <w:szCs w:val="20"/>
              </w:rPr>
              <w:t xml:space="preserve"> also needs to be completed for </w:t>
            </w:r>
            <w:r w:rsidR="00CF7493">
              <w:rPr>
                <w:rFonts w:cs="Calibri"/>
                <w:sz w:val="20"/>
                <w:szCs w:val="20"/>
              </w:rPr>
              <w:t>that site.</w:t>
            </w:r>
            <w:r w:rsidR="007F2649">
              <w:rPr>
                <w:rFonts w:cs="Calibri"/>
                <w:sz w:val="20"/>
                <w:szCs w:val="20"/>
              </w:rPr>
              <w:t xml:space="preserve"> </w:t>
            </w:r>
          </w:p>
          <w:p w14:paraId="6F3B4AF2" w14:textId="77777777" w:rsidR="00F069D2" w:rsidRDefault="00F069D2"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p w14:paraId="3565EF17" w14:textId="0AFB4DF1" w:rsidR="00F069D2" w:rsidRDefault="00F069D2"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Programs based i</w:t>
            </w:r>
            <w:r w:rsidRPr="00F069D2">
              <w:rPr>
                <w:rFonts w:cs="Calibri"/>
                <w:sz w:val="20"/>
                <w:szCs w:val="20"/>
              </w:rPr>
              <w:t xml:space="preserve">n ambulatory care and/or community-based settings must complete the applicable service grid(s) for the primary practice site AND all participating sites used for </w:t>
            </w:r>
            <w:r w:rsidRPr="00F069D2">
              <w:rPr>
                <w:rFonts w:cs="Calibri"/>
                <w:sz w:val="20"/>
                <w:szCs w:val="20"/>
                <w:u w:val="single"/>
              </w:rPr>
              <w:t>required</w:t>
            </w:r>
            <w:r w:rsidRPr="00F069D2">
              <w:rPr>
                <w:rFonts w:cs="Calibri"/>
                <w:sz w:val="20"/>
                <w:szCs w:val="20"/>
              </w:rPr>
              <w:t xml:space="preserve"> direct patient care learning experiences</w:t>
            </w:r>
            <w:r>
              <w:rPr>
                <w:rFonts w:cs="Calibri"/>
                <w:sz w:val="20"/>
                <w:szCs w:val="20"/>
              </w:rPr>
              <w:t>.</w:t>
            </w:r>
          </w:p>
          <w:p w14:paraId="1547A869" w14:textId="77777777" w:rsidR="00CC51B4" w:rsidRDefault="00CC51B4"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B802E1B" w14:textId="66AC9F8D" w:rsidR="00AC0C7F" w:rsidRDefault="00D149F4"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For PGY1 community-based</w:t>
            </w:r>
            <w:r w:rsidR="00880FC1">
              <w:rPr>
                <w:rFonts w:cs="Calibri"/>
                <w:sz w:val="20"/>
                <w:szCs w:val="20"/>
              </w:rPr>
              <w:t xml:space="preserve"> pharmacy</w:t>
            </w:r>
            <w:r>
              <w:rPr>
                <w:rFonts w:cs="Calibri"/>
                <w:sz w:val="20"/>
                <w:szCs w:val="20"/>
              </w:rPr>
              <w:t xml:space="preserve"> residency programs sponsored by of a college of pharmacy</w:t>
            </w:r>
            <w:r w:rsidR="00880FC1">
              <w:rPr>
                <w:rFonts w:cs="Calibri"/>
                <w:sz w:val="20"/>
                <w:szCs w:val="20"/>
              </w:rPr>
              <w:t xml:space="preserve"> that include more than one primary practice site, </w:t>
            </w:r>
            <w:r w:rsidR="00FE4600">
              <w:rPr>
                <w:rFonts w:cs="Calibri"/>
                <w:sz w:val="20"/>
                <w:szCs w:val="20"/>
              </w:rPr>
              <w:t>complete a grid for each primary practice site.</w:t>
            </w:r>
          </w:p>
          <w:p w14:paraId="62FAA2A5" w14:textId="77777777" w:rsidR="001D3D58" w:rsidRDefault="001D3D58"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p w14:paraId="309C10E4" w14:textId="77777777" w:rsidR="001D3D58" w:rsidRPr="00CD2195" w:rsidRDefault="001D3D58" w:rsidP="001D3D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Cs/>
                <w:sz w:val="20"/>
                <w:szCs w:val="20"/>
              </w:rPr>
            </w:pPr>
            <w:r w:rsidRPr="00CD2195">
              <w:rPr>
                <w:rFonts w:cs="Calibri"/>
                <w:bCs/>
                <w:sz w:val="20"/>
                <w:szCs w:val="20"/>
              </w:rPr>
              <w:t>See Service Grids for more details. If you have questions about which grid(s) must be completed, contact your lead surveyor.</w:t>
            </w:r>
          </w:p>
          <w:p w14:paraId="1B802E1C" w14:textId="078E715F" w:rsidR="00AC0C7F" w:rsidRPr="00965246" w:rsidRDefault="00AC0C7F"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sz w:val="20"/>
                <w:szCs w:val="20"/>
              </w:rPr>
            </w:pPr>
          </w:p>
          <w:bookmarkStart w:id="10" w:name="_Hlk177060410"/>
          <w:p w14:paraId="53D72073" w14:textId="77777777" w:rsidR="00DB0C48" w:rsidRDefault="00AC0C7F" w:rsidP="00DB0C48">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sidRPr="00DB0C48">
              <w:fldChar w:fldCharType="begin"/>
            </w:r>
            <w:r w:rsidR="005D7E2B" w:rsidRPr="00DB0C48">
              <w:instrText>HYPERLINK "https://www.ashp.org/professional-development/residency-information/residency-program-resources/residency-accreditation/residency-accreditation-survey-readiness"</w:instrText>
            </w:r>
            <w:r w:rsidRPr="00DB0C48">
              <w:fldChar w:fldCharType="separate"/>
            </w:r>
            <w:r w:rsidRPr="00DB0C48">
              <w:rPr>
                <w:rStyle w:val="Hyperlink"/>
                <w:rFonts w:eastAsia="Times New Roman" w:cs="Calibri"/>
                <w:b/>
                <w:sz w:val="20"/>
                <w:szCs w:val="20"/>
              </w:rPr>
              <w:t>TABLE A. Acute Care -Practice Environment Information</w:t>
            </w:r>
            <w:r w:rsidRPr="00DB0C48">
              <w:rPr>
                <w:rStyle w:val="Hyperlink"/>
                <w:rFonts w:eastAsia="Times New Roman" w:cs="Calibri"/>
                <w:b/>
                <w:sz w:val="20"/>
                <w:szCs w:val="20"/>
              </w:rPr>
              <w:fldChar w:fldCharType="end"/>
            </w:r>
            <w:bookmarkEnd w:id="10"/>
            <w:r w:rsidRPr="00DB0C48">
              <w:rPr>
                <w:rFonts w:eastAsia="Times New Roman" w:cs="Calibri"/>
                <w:b/>
                <w:sz w:val="20"/>
                <w:szCs w:val="20"/>
              </w:rPr>
              <w:t xml:space="preserve"> </w:t>
            </w:r>
            <w:r w:rsidRPr="00DB0C48">
              <w:rPr>
                <w:rFonts w:cs="Calibri"/>
                <w:sz w:val="20"/>
                <w:szCs w:val="20"/>
              </w:rPr>
              <w:t>PGY1, PGY2, and PGY1/PGY2 Hospital-based programs</w:t>
            </w:r>
            <w:bookmarkStart w:id="11" w:name="_Hlk177060427"/>
          </w:p>
          <w:p w14:paraId="71F7A8BB" w14:textId="77777777" w:rsidR="00DB0C48" w:rsidRDefault="00DB0C48" w:rsidP="00DB0C48">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p w14:paraId="488A285C" w14:textId="77777777" w:rsidR="0092529B" w:rsidRDefault="00AC0C7F" w:rsidP="0092529B">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hyperlink r:id="rId18">
              <w:r w:rsidRPr="00DB0C48">
                <w:rPr>
                  <w:rStyle w:val="Hyperlink"/>
                  <w:rFonts w:eastAsia="Times New Roman" w:cs="Calibri"/>
                  <w:b/>
                  <w:sz w:val="20"/>
                  <w:szCs w:val="20"/>
                </w:rPr>
                <w:t xml:space="preserve">TABLE B. Ambulatory Care -Practice Environment </w:t>
              </w:r>
              <w:r w:rsidRPr="00DB0C48">
                <w:rPr>
                  <w:rStyle w:val="Hyperlink"/>
                  <w:rFonts w:eastAsia="Times New Roman" w:cs="Calibri"/>
                  <w:b/>
                  <w:bCs/>
                  <w:sz w:val="20"/>
                  <w:szCs w:val="20"/>
                </w:rPr>
                <w:t>Information</w:t>
              </w:r>
            </w:hyperlink>
            <w:r w:rsidRPr="00DB0C48">
              <w:rPr>
                <w:rStyle w:val="Hyperlink"/>
                <w:rFonts w:eastAsia="Times New Roman" w:cs="Calibri"/>
                <w:sz w:val="20"/>
                <w:szCs w:val="20"/>
              </w:rPr>
              <w:t xml:space="preserve"> </w:t>
            </w:r>
            <w:bookmarkEnd w:id="11"/>
            <w:r w:rsidRPr="00DB0C48">
              <w:rPr>
                <w:rFonts w:cs="Calibri"/>
                <w:sz w:val="20"/>
                <w:szCs w:val="20"/>
              </w:rPr>
              <w:t>Hospital-based programs if ambulatory care clinics are associated with the hospital</w:t>
            </w:r>
            <w:r w:rsidR="0092529B">
              <w:rPr>
                <w:rFonts w:cs="Calibri"/>
                <w:sz w:val="20"/>
                <w:szCs w:val="20"/>
              </w:rPr>
              <w:t xml:space="preserve">, </w:t>
            </w:r>
            <w:r w:rsidRPr="0092529B">
              <w:rPr>
                <w:rFonts w:cs="Calibri"/>
                <w:sz w:val="20"/>
                <w:szCs w:val="20"/>
              </w:rPr>
              <w:t>Stand-alone PGY2 Ambulatory Care Pharmacy programs</w:t>
            </w:r>
            <w:r w:rsidR="0092529B">
              <w:rPr>
                <w:rFonts w:cs="Calibri"/>
                <w:sz w:val="20"/>
                <w:szCs w:val="20"/>
              </w:rPr>
              <w:t xml:space="preserve">, </w:t>
            </w:r>
            <w:r w:rsidRPr="0092529B">
              <w:rPr>
                <w:rFonts w:cs="Calibri"/>
                <w:sz w:val="20"/>
                <w:szCs w:val="20"/>
              </w:rPr>
              <w:t>PGY2 Specialty Pharmacy programs</w:t>
            </w:r>
            <w:bookmarkStart w:id="12" w:name="_Hlk177060448"/>
          </w:p>
          <w:p w14:paraId="773B3BE4" w14:textId="77777777" w:rsidR="0092529B" w:rsidRPr="0092529B" w:rsidRDefault="0092529B" w:rsidP="0092529B">
            <w:pPr>
              <w:pStyle w:val="ListParagraph"/>
              <w:cnfStyle w:val="000000100000" w:firstRow="0" w:lastRow="0" w:firstColumn="0" w:lastColumn="0" w:oddVBand="0" w:evenVBand="0" w:oddHBand="1" w:evenHBand="0" w:firstRowFirstColumn="0" w:firstRowLastColumn="0" w:lastRowFirstColumn="0" w:lastRowLastColumn="0"/>
            </w:pPr>
          </w:p>
          <w:p w14:paraId="68A9ADF6" w14:textId="77777777" w:rsidR="00BC1B55" w:rsidRDefault="00AC0C7F" w:rsidP="0092529B">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hyperlink r:id="rId19">
              <w:r w:rsidRPr="0092529B">
                <w:rPr>
                  <w:rStyle w:val="Hyperlink"/>
                  <w:rFonts w:eastAsia="Times New Roman" w:cs="Calibri"/>
                  <w:b/>
                  <w:sz w:val="20"/>
                  <w:szCs w:val="20"/>
                </w:rPr>
                <w:t>TABLE C. Community - Practice Environment Information</w:t>
              </w:r>
            </w:hyperlink>
            <w:bookmarkEnd w:id="12"/>
            <w:r w:rsidR="000B39C6" w:rsidRPr="0092529B">
              <w:rPr>
                <w:rStyle w:val="Hyperlink"/>
                <w:rFonts w:eastAsia="Times New Roman" w:cs="Calibri"/>
                <w:b/>
                <w:sz w:val="20"/>
                <w:szCs w:val="20"/>
              </w:rPr>
              <w:t xml:space="preserve"> </w:t>
            </w:r>
            <w:r w:rsidRPr="0092529B">
              <w:rPr>
                <w:rFonts w:cs="Calibri"/>
                <w:sz w:val="20"/>
                <w:szCs w:val="20"/>
              </w:rPr>
              <w:t>PGY1 Community-based Pharmacy programs</w:t>
            </w:r>
            <w:r w:rsidR="0092529B">
              <w:rPr>
                <w:rFonts w:cs="Calibri"/>
                <w:sz w:val="20"/>
                <w:szCs w:val="20"/>
              </w:rPr>
              <w:t>.</w:t>
            </w:r>
          </w:p>
          <w:p w14:paraId="5083AACE" w14:textId="77777777" w:rsidR="00BC1B55" w:rsidRPr="00BC1B55" w:rsidRDefault="00BC1B55" w:rsidP="00BC1B55">
            <w:pPr>
              <w:pStyle w:val="ListParagraph"/>
              <w:cnfStyle w:val="000000100000" w:firstRow="0" w:lastRow="0" w:firstColumn="0" w:lastColumn="0" w:oddVBand="0" w:evenVBand="0" w:oddHBand="1" w:evenHBand="0" w:firstRowFirstColumn="0" w:firstRowLastColumn="0" w:lastRowFirstColumn="0" w:lastRowLastColumn="0"/>
              <w:rPr>
                <w:rFonts w:cs="Calibri"/>
                <w:sz w:val="20"/>
                <w:szCs w:val="20"/>
              </w:rPr>
            </w:pPr>
          </w:p>
          <w:p w14:paraId="0E66C63A" w14:textId="77777777" w:rsidR="00BC1B55" w:rsidRDefault="00AC0C7F" w:rsidP="00BC1B55">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r w:rsidRPr="0092529B">
              <w:rPr>
                <w:rFonts w:cs="Calibri"/>
                <w:sz w:val="20"/>
                <w:szCs w:val="20"/>
              </w:rPr>
              <w:t>PGY1 Community-Based Pharmacy residency programs sponsored by a College of Pharmacy that include more than one primary practice site must include a grid for each primary practice site.</w:t>
            </w:r>
            <w:bookmarkStart w:id="13" w:name="_Hlk177060465"/>
          </w:p>
          <w:p w14:paraId="53386432" w14:textId="77777777" w:rsidR="00BC1B55" w:rsidRDefault="00BC1B55" w:rsidP="00BC1B55">
            <w:pPr>
              <w:autoSpaceDE w:val="0"/>
              <w:autoSpaceDN w:val="0"/>
              <w:adjustRightInd w:val="0"/>
              <w:cnfStyle w:val="000000100000" w:firstRow="0" w:lastRow="0" w:firstColumn="0" w:lastColumn="0" w:oddVBand="0" w:evenVBand="0" w:oddHBand="1" w:evenHBand="0" w:firstRowFirstColumn="0" w:firstRowLastColumn="0" w:lastRowFirstColumn="0" w:lastRowLastColumn="0"/>
            </w:pPr>
          </w:p>
          <w:p w14:paraId="376990EF" w14:textId="30D4150D" w:rsidR="00AC0C7F" w:rsidRPr="00BC1B55" w:rsidRDefault="00AC0C7F" w:rsidP="00BC1B55">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hyperlink r:id="rId20">
              <w:r w:rsidRPr="00BC1B55">
                <w:rPr>
                  <w:rStyle w:val="Hyperlink"/>
                  <w:rFonts w:eastAsia="Times New Roman" w:cs="Calibri"/>
                  <w:b/>
                  <w:sz w:val="20"/>
                  <w:szCs w:val="20"/>
                </w:rPr>
                <w:t>TABLE D. Managed Care - Practice Environment Information</w:t>
              </w:r>
            </w:hyperlink>
            <w:bookmarkEnd w:id="13"/>
            <w:r w:rsidR="00DB0C48" w:rsidRPr="00BC1B55">
              <w:rPr>
                <w:rStyle w:val="Hyperlink"/>
                <w:rFonts w:eastAsia="Times New Roman" w:cs="Calibri"/>
                <w:b/>
                <w:sz w:val="20"/>
                <w:szCs w:val="20"/>
              </w:rPr>
              <w:t xml:space="preserve"> </w:t>
            </w:r>
            <w:r w:rsidRPr="00BC1B55">
              <w:rPr>
                <w:rFonts w:cs="Calibri"/>
                <w:sz w:val="20"/>
                <w:szCs w:val="20"/>
              </w:rPr>
              <w:t>PGY1 Managed Care Pharmacy Programs</w:t>
            </w:r>
          </w:p>
          <w:p w14:paraId="1B802E1D" w14:textId="77777777" w:rsidR="00AC0C7F" w:rsidRPr="00965246" w:rsidRDefault="00AC0C7F"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p w14:paraId="1B802E27" w14:textId="122F29CD" w:rsidR="00AC0C7F" w:rsidRPr="00DA7468" w:rsidRDefault="000234D6" w:rsidP="00BC1B5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sz w:val="20"/>
                <w:szCs w:val="20"/>
              </w:rPr>
            </w:pPr>
            <w:r>
              <w:rPr>
                <w:rFonts w:cs="Calibri"/>
                <w:sz w:val="20"/>
                <w:szCs w:val="20"/>
              </w:rPr>
              <w:t>If unsure if a service grid for a participating site is needed, please clarify with your lead surveyor.</w:t>
            </w:r>
          </w:p>
        </w:tc>
        <w:tc>
          <w:tcPr>
            <w:cnfStyle w:val="000010000000" w:firstRow="0" w:lastRow="0" w:firstColumn="0" w:lastColumn="0" w:oddVBand="1" w:evenVBand="0" w:oddHBand="0" w:evenHBand="0" w:firstRowFirstColumn="0" w:firstRowLastColumn="0" w:lastRowFirstColumn="0" w:lastRowLastColumn="0"/>
            <w:tcW w:w="1798" w:type="dxa"/>
          </w:tcPr>
          <w:p w14:paraId="1B802E28" w14:textId="77777777" w:rsidR="00AC0C7F" w:rsidRPr="000C1C7C" w:rsidRDefault="00AC0C7F" w:rsidP="00AC0C7F">
            <w:pPr>
              <w:autoSpaceDE w:val="0"/>
              <w:autoSpaceDN w:val="0"/>
              <w:adjustRightInd w:val="0"/>
              <w:jc w:val="center"/>
              <w:rPr>
                <w:rFonts w:cs="Calibri"/>
                <w:sz w:val="20"/>
                <w:szCs w:val="20"/>
              </w:rPr>
            </w:pPr>
            <w:r w:rsidRPr="00302C28">
              <w:rPr>
                <w:rFonts w:cs="Calibri"/>
                <w:sz w:val="20"/>
                <w:szCs w:val="20"/>
              </w:rPr>
              <w:lastRenderedPageBreak/>
              <w:t>Standard  5.1.a.1</w:t>
            </w:r>
          </w:p>
          <w:p w14:paraId="1B802E29" w14:textId="77777777" w:rsidR="00AC0C7F" w:rsidRPr="006075DD" w:rsidRDefault="00AC0C7F" w:rsidP="00AC0C7F">
            <w:pPr>
              <w:autoSpaceDE w:val="0"/>
              <w:autoSpaceDN w:val="0"/>
              <w:adjustRightInd w:val="0"/>
              <w:jc w:val="center"/>
              <w:rPr>
                <w:rFonts w:cs="Calibri"/>
                <w:sz w:val="20"/>
                <w:szCs w:val="20"/>
              </w:rPr>
            </w:pPr>
          </w:p>
        </w:tc>
      </w:tr>
      <w:tr w:rsidR="00AC0C7F" w:rsidRPr="0053571B" w14:paraId="1B802E32" w14:textId="77777777" w:rsidTr="00E24ADA">
        <w:trPr>
          <w:trHeight w:val="519"/>
        </w:trPr>
        <w:tc>
          <w:tcPr>
            <w:cnfStyle w:val="000010000000" w:firstRow="0" w:lastRow="0" w:firstColumn="0" w:lastColumn="0" w:oddVBand="1" w:evenVBand="0" w:oddHBand="0" w:evenHBand="0" w:firstRowFirstColumn="0" w:firstRowLastColumn="0" w:lastRowFirstColumn="0" w:lastRowLastColumn="0"/>
            <w:tcW w:w="2520" w:type="dxa"/>
          </w:tcPr>
          <w:p w14:paraId="1B802E2F" w14:textId="77777777" w:rsidR="00AC0C7F" w:rsidRPr="00223E4D" w:rsidRDefault="00AC0C7F" w:rsidP="00AC0C7F">
            <w:pPr>
              <w:rPr>
                <w:rFonts w:cs="Calibri"/>
                <w:b/>
                <w:bCs/>
                <w:sz w:val="20"/>
                <w:szCs w:val="20"/>
              </w:rPr>
            </w:pPr>
            <w:r w:rsidRPr="00223E4D">
              <w:rPr>
                <w:rFonts w:cs="Calibri"/>
                <w:b/>
                <w:bCs/>
                <w:sz w:val="20"/>
                <w:szCs w:val="20"/>
              </w:rPr>
              <w:t>Pharmacy Department Plan</w:t>
            </w:r>
          </w:p>
        </w:tc>
        <w:tc>
          <w:tcPr>
            <w:tcW w:w="6238" w:type="dxa"/>
            <w:gridSpan w:val="3"/>
          </w:tcPr>
          <w:p w14:paraId="1B802E30" w14:textId="3F0B4476" w:rsidR="00AC0C7F" w:rsidRPr="00213BF8" w:rsidRDefault="004400CF"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DA7468">
              <w:rPr>
                <w:rFonts w:cs="Calibri"/>
                <w:sz w:val="20"/>
                <w:szCs w:val="20"/>
              </w:rPr>
              <w:t xml:space="preserve">ubmit the pharmacy/pharmacy departments’ plan, including short- (1 year) and long-term (3 year) goals. </w:t>
            </w:r>
          </w:p>
        </w:tc>
        <w:tc>
          <w:tcPr>
            <w:cnfStyle w:val="000010000000" w:firstRow="0" w:lastRow="0" w:firstColumn="0" w:lastColumn="0" w:oddVBand="1" w:evenVBand="0" w:oddHBand="0" w:evenHBand="0" w:firstRowFirstColumn="0" w:firstRowLastColumn="0" w:lastRowFirstColumn="0" w:lastRowLastColumn="0"/>
            <w:tcW w:w="1798" w:type="dxa"/>
          </w:tcPr>
          <w:p w14:paraId="1B802E31" w14:textId="77777777" w:rsidR="00AC0C7F" w:rsidRPr="006075DD" w:rsidRDefault="00AC0C7F" w:rsidP="00AC0C7F">
            <w:pPr>
              <w:autoSpaceDE w:val="0"/>
              <w:autoSpaceDN w:val="0"/>
              <w:adjustRightInd w:val="0"/>
              <w:jc w:val="center"/>
              <w:rPr>
                <w:rFonts w:cs="Calibri"/>
                <w:sz w:val="20"/>
                <w:szCs w:val="20"/>
              </w:rPr>
            </w:pPr>
            <w:r w:rsidRPr="006075DD">
              <w:rPr>
                <w:rFonts w:cs="Calibri"/>
                <w:sz w:val="20"/>
                <w:szCs w:val="20"/>
              </w:rPr>
              <w:t>Standard 5.1.a.3</w:t>
            </w:r>
          </w:p>
        </w:tc>
      </w:tr>
      <w:tr w:rsidR="00AC0C7F" w:rsidRPr="0053571B" w14:paraId="1B802E5C" w14:textId="77777777" w:rsidTr="00E24ADA">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2520" w:type="dxa"/>
          </w:tcPr>
          <w:p w14:paraId="1B802E55" w14:textId="77777777" w:rsidR="00AC0C7F" w:rsidRPr="00223E4D" w:rsidRDefault="00AC0C7F" w:rsidP="00AC0C7F">
            <w:pPr>
              <w:autoSpaceDE w:val="0"/>
              <w:autoSpaceDN w:val="0"/>
              <w:adjustRightInd w:val="0"/>
              <w:rPr>
                <w:rFonts w:cs="Calibri"/>
                <w:color w:val="C00000"/>
                <w:sz w:val="20"/>
                <w:szCs w:val="20"/>
              </w:rPr>
            </w:pPr>
            <w:r w:rsidRPr="00223E4D">
              <w:rPr>
                <w:rFonts w:cs="Calibri"/>
                <w:b/>
                <w:bCs/>
                <w:sz w:val="20"/>
                <w:szCs w:val="20"/>
              </w:rPr>
              <w:t xml:space="preserve">Quality Assessment Reports </w:t>
            </w:r>
          </w:p>
        </w:tc>
        <w:tc>
          <w:tcPr>
            <w:tcW w:w="6238" w:type="dxa"/>
            <w:gridSpan w:val="3"/>
          </w:tcPr>
          <w:p w14:paraId="4BD49634" w14:textId="4430F888" w:rsidR="00D77EA4" w:rsidRDefault="00BD1707" w:rsidP="00002D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Submit </w:t>
            </w:r>
            <w:r w:rsidRPr="00CD2195">
              <w:rPr>
                <w:rFonts w:asciiTheme="minorHAnsi" w:hAnsiTheme="minorHAnsi" w:cstheme="minorHAnsi"/>
                <w:sz w:val="20"/>
                <w:szCs w:val="20"/>
              </w:rPr>
              <w:t xml:space="preserve">1-2 examples of the </w:t>
            </w:r>
            <w:r w:rsidR="00BC00E7">
              <w:rPr>
                <w:rFonts w:asciiTheme="minorHAnsi" w:hAnsiTheme="minorHAnsi" w:cstheme="minorHAnsi"/>
                <w:sz w:val="20"/>
                <w:szCs w:val="20"/>
              </w:rPr>
              <w:t xml:space="preserve">assessment and </w:t>
            </w:r>
            <w:r w:rsidRPr="00CD2195">
              <w:rPr>
                <w:rFonts w:asciiTheme="minorHAnsi" w:hAnsiTheme="minorHAnsi" w:cstheme="minorHAnsi"/>
                <w:sz w:val="20"/>
                <w:szCs w:val="20"/>
              </w:rPr>
              <w:t>outcomes of a pharmacy managed protocol or CPA</w:t>
            </w:r>
            <w:r w:rsidR="00D404A6">
              <w:rPr>
                <w:rFonts w:asciiTheme="minorHAnsi" w:hAnsiTheme="minorHAnsi" w:cstheme="minorHAnsi"/>
                <w:sz w:val="20"/>
                <w:szCs w:val="20"/>
              </w:rPr>
              <w:t>.</w:t>
            </w:r>
            <w:r w:rsidR="00756B81">
              <w:rPr>
                <w:rFonts w:asciiTheme="minorHAnsi" w:hAnsiTheme="minorHAnsi" w:cstheme="minorHAnsi"/>
                <w:sz w:val="20"/>
                <w:szCs w:val="20"/>
              </w:rPr>
              <w:t xml:space="preserve"> </w:t>
            </w:r>
            <w:r w:rsidR="006D32ED">
              <w:rPr>
                <w:rFonts w:asciiTheme="minorHAnsi" w:hAnsiTheme="minorHAnsi" w:cstheme="minorHAnsi"/>
                <w:sz w:val="20"/>
                <w:szCs w:val="20"/>
              </w:rPr>
              <w:t>(</w:t>
            </w:r>
            <w:r w:rsidR="00076A27">
              <w:rPr>
                <w:rFonts w:asciiTheme="minorHAnsi" w:hAnsiTheme="minorHAnsi" w:cstheme="minorHAnsi"/>
                <w:sz w:val="20"/>
                <w:szCs w:val="20"/>
              </w:rPr>
              <w:t>For PGY2 direct patient care</w:t>
            </w:r>
            <w:r w:rsidR="00F301C3">
              <w:rPr>
                <w:rFonts w:asciiTheme="minorHAnsi" w:hAnsiTheme="minorHAnsi" w:cstheme="minorHAnsi"/>
                <w:sz w:val="20"/>
                <w:szCs w:val="20"/>
              </w:rPr>
              <w:t xml:space="preserve"> residency programs, </w:t>
            </w:r>
            <w:r w:rsidR="00A04D1D">
              <w:rPr>
                <w:rFonts w:asciiTheme="minorHAnsi" w:hAnsiTheme="minorHAnsi" w:cstheme="minorHAnsi"/>
                <w:sz w:val="20"/>
                <w:szCs w:val="20"/>
              </w:rPr>
              <w:t xml:space="preserve">the examples </w:t>
            </w:r>
            <w:r w:rsidR="006D32ED">
              <w:rPr>
                <w:rFonts w:asciiTheme="minorHAnsi" w:hAnsiTheme="minorHAnsi" w:cstheme="minorHAnsi"/>
                <w:sz w:val="20"/>
                <w:szCs w:val="20"/>
              </w:rPr>
              <w:t xml:space="preserve">submitted </w:t>
            </w:r>
            <w:r w:rsidR="00A04D1D">
              <w:rPr>
                <w:rFonts w:asciiTheme="minorHAnsi" w:hAnsiTheme="minorHAnsi" w:cstheme="minorHAnsi"/>
                <w:sz w:val="20"/>
                <w:szCs w:val="20"/>
              </w:rPr>
              <w:t>must be related to the PGY2 practice area.</w:t>
            </w:r>
            <w:r w:rsidR="006D32ED">
              <w:rPr>
                <w:rFonts w:asciiTheme="minorHAnsi" w:hAnsiTheme="minorHAnsi" w:cstheme="minorHAnsi"/>
                <w:sz w:val="20"/>
                <w:szCs w:val="20"/>
              </w:rPr>
              <w:t>)</w:t>
            </w:r>
          </w:p>
          <w:p w14:paraId="2A92F93D" w14:textId="0EFD43DB" w:rsidR="00B1188F" w:rsidRDefault="00B1188F" w:rsidP="00002DF2">
            <w:pPr>
              <w:pStyle w:val="NormalWeb"/>
              <w:numPr>
                <w:ilvl w:val="0"/>
                <w:numId w:val="5"/>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E228D">
              <w:rPr>
                <w:rFonts w:asciiTheme="minorHAnsi" w:hAnsiTheme="minorHAnsi" w:cstheme="minorHAnsi"/>
                <w:sz w:val="20"/>
                <w:szCs w:val="20"/>
              </w:rPr>
              <w:t xml:space="preserve">Examples of </w:t>
            </w:r>
            <w:r w:rsidR="00B31E61">
              <w:rPr>
                <w:rFonts w:asciiTheme="minorHAnsi" w:hAnsiTheme="minorHAnsi" w:cstheme="minorHAnsi"/>
                <w:sz w:val="20"/>
                <w:szCs w:val="20"/>
              </w:rPr>
              <w:t>outcome</w:t>
            </w:r>
            <w:r w:rsidR="00B263CE">
              <w:rPr>
                <w:rFonts w:asciiTheme="minorHAnsi" w:hAnsiTheme="minorHAnsi" w:cstheme="minorHAnsi"/>
                <w:sz w:val="20"/>
                <w:szCs w:val="20"/>
              </w:rPr>
              <w:t xml:space="preserve"> measurements</w:t>
            </w:r>
            <w:r w:rsidRPr="00EE228D">
              <w:rPr>
                <w:rFonts w:asciiTheme="minorHAnsi" w:hAnsiTheme="minorHAnsi" w:cstheme="minorHAnsi"/>
                <w:sz w:val="20"/>
                <w:szCs w:val="20"/>
              </w:rPr>
              <w:t xml:space="preserve"> may include but are not limited to: routine performance of medication-use evaluations to assess the use of, and effectiveness of protocols.</w:t>
            </w:r>
          </w:p>
          <w:p w14:paraId="4B294F65" w14:textId="77777777" w:rsidR="008C70F3" w:rsidRDefault="00893F09" w:rsidP="00C922AD">
            <w:pPr>
              <w:pStyle w:val="NormalWeb"/>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Submit</w:t>
            </w:r>
            <w:r w:rsidR="0096571A">
              <w:rPr>
                <w:rFonts w:asciiTheme="minorHAnsi" w:hAnsiTheme="minorHAnsi" w:cstheme="minorHAnsi"/>
                <w:sz w:val="20"/>
                <w:szCs w:val="20"/>
              </w:rPr>
              <w:t xml:space="preserve"> </w:t>
            </w:r>
            <w:r w:rsidR="006B71A3">
              <w:rPr>
                <w:rFonts w:asciiTheme="minorHAnsi" w:hAnsiTheme="minorHAnsi" w:cstheme="minorHAnsi"/>
                <w:sz w:val="20"/>
                <w:szCs w:val="20"/>
              </w:rPr>
              <w:t>example</w:t>
            </w:r>
            <w:r w:rsidR="0096571A">
              <w:rPr>
                <w:rFonts w:asciiTheme="minorHAnsi" w:hAnsiTheme="minorHAnsi" w:cstheme="minorHAnsi"/>
                <w:sz w:val="20"/>
                <w:szCs w:val="20"/>
              </w:rPr>
              <w:t>(s)</w:t>
            </w:r>
            <w:r w:rsidR="00756B81">
              <w:rPr>
                <w:rFonts w:asciiTheme="minorHAnsi" w:hAnsiTheme="minorHAnsi" w:cstheme="minorHAnsi"/>
                <w:sz w:val="20"/>
                <w:szCs w:val="20"/>
              </w:rPr>
              <w:t xml:space="preserve"> </w:t>
            </w:r>
            <w:r w:rsidR="00397CB0">
              <w:rPr>
                <w:rFonts w:asciiTheme="minorHAnsi" w:hAnsiTheme="minorHAnsi" w:cstheme="minorHAnsi"/>
                <w:sz w:val="20"/>
                <w:szCs w:val="20"/>
              </w:rPr>
              <w:t>specific to</w:t>
            </w:r>
            <w:r w:rsidR="006234B9">
              <w:rPr>
                <w:rFonts w:asciiTheme="minorHAnsi" w:hAnsiTheme="minorHAnsi" w:cstheme="minorHAnsi"/>
                <w:sz w:val="20"/>
                <w:szCs w:val="20"/>
              </w:rPr>
              <w:t xml:space="preserve"> pharmacy</w:t>
            </w:r>
            <w:r w:rsidR="00397CB0">
              <w:rPr>
                <w:rFonts w:asciiTheme="minorHAnsi" w:hAnsiTheme="minorHAnsi" w:cstheme="minorHAnsi"/>
                <w:sz w:val="20"/>
                <w:szCs w:val="20"/>
              </w:rPr>
              <w:t xml:space="preserve"> practice</w:t>
            </w:r>
            <w:r w:rsidR="006234B9">
              <w:rPr>
                <w:rFonts w:asciiTheme="minorHAnsi" w:hAnsiTheme="minorHAnsi" w:cstheme="minorHAnsi"/>
                <w:sz w:val="20"/>
                <w:szCs w:val="20"/>
              </w:rPr>
              <w:t xml:space="preserve"> </w:t>
            </w:r>
            <w:r w:rsidR="001829A7">
              <w:rPr>
                <w:rFonts w:asciiTheme="minorHAnsi" w:hAnsiTheme="minorHAnsi" w:cstheme="minorHAnsi"/>
                <w:sz w:val="20"/>
                <w:szCs w:val="20"/>
              </w:rPr>
              <w:t>rather</w:t>
            </w:r>
            <w:r w:rsidR="006234B9">
              <w:rPr>
                <w:rFonts w:asciiTheme="minorHAnsi" w:hAnsiTheme="minorHAnsi" w:cstheme="minorHAnsi"/>
                <w:sz w:val="20"/>
                <w:szCs w:val="20"/>
              </w:rPr>
              <w:t xml:space="preserve"> than initiatives </w:t>
            </w:r>
            <w:r w:rsidR="00FB1FD9">
              <w:rPr>
                <w:rFonts w:asciiTheme="minorHAnsi" w:hAnsiTheme="minorHAnsi" w:cstheme="minorHAnsi"/>
                <w:sz w:val="20"/>
                <w:szCs w:val="20"/>
              </w:rPr>
              <w:t>tracked by department</w:t>
            </w:r>
            <w:r w:rsidR="00AA7F12">
              <w:rPr>
                <w:rFonts w:asciiTheme="minorHAnsi" w:hAnsiTheme="minorHAnsi" w:cstheme="minorHAnsi"/>
                <w:sz w:val="20"/>
                <w:szCs w:val="20"/>
              </w:rPr>
              <w:t>s outside the pharmacy (e.g., quality department)</w:t>
            </w:r>
            <w:r w:rsidR="00FB1FD9">
              <w:rPr>
                <w:rFonts w:asciiTheme="minorHAnsi" w:hAnsiTheme="minorHAnsi" w:cstheme="minorHAnsi"/>
                <w:sz w:val="20"/>
                <w:szCs w:val="20"/>
              </w:rPr>
              <w:t xml:space="preserve">. </w:t>
            </w:r>
            <w:r w:rsidR="00BD1707" w:rsidRPr="00CD2195">
              <w:rPr>
                <w:rFonts w:asciiTheme="minorHAnsi" w:hAnsiTheme="minorHAnsi" w:cstheme="minorHAnsi"/>
                <w:sz w:val="20"/>
                <w:szCs w:val="20"/>
              </w:rPr>
              <w:t xml:space="preserve"> </w:t>
            </w:r>
          </w:p>
          <w:p w14:paraId="5215EAA6" w14:textId="65CC9D34" w:rsidR="00EE039E" w:rsidRPr="008C70F3" w:rsidRDefault="00E1034B" w:rsidP="00002DF2">
            <w:pPr>
              <w:pStyle w:val="NormalWeb"/>
              <w:spacing w:before="0" w:beforeAutospacing="0" w:after="0" w:afterAutospacing="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C70F3">
              <w:rPr>
                <w:rFonts w:asciiTheme="minorHAnsi" w:eastAsia="Calibri" w:hAnsiTheme="minorHAnsi" w:cstheme="minorHAnsi"/>
                <w:sz w:val="20"/>
                <w:szCs w:val="20"/>
              </w:rPr>
              <w:t xml:space="preserve">Examples specific to pharmacy </w:t>
            </w:r>
            <w:r w:rsidR="00002DF2">
              <w:rPr>
                <w:rFonts w:asciiTheme="minorHAnsi" w:eastAsia="Calibri" w:hAnsiTheme="minorHAnsi" w:cstheme="minorHAnsi"/>
                <w:sz w:val="20"/>
                <w:szCs w:val="20"/>
              </w:rPr>
              <w:t xml:space="preserve">practice </w:t>
            </w:r>
            <w:r w:rsidRPr="008C70F3">
              <w:rPr>
                <w:rFonts w:asciiTheme="minorHAnsi" w:eastAsia="Calibri" w:hAnsiTheme="minorHAnsi" w:cstheme="minorHAnsi"/>
                <w:sz w:val="20"/>
                <w:szCs w:val="20"/>
              </w:rPr>
              <w:t>may include</w:t>
            </w:r>
            <w:r w:rsidR="00C9714E" w:rsidRPr="008C70F3">
              <w:rPr>
                <w:rFonts w:asciiTheme="minorHAnsi" w:eastAsia="Calibri" w:hAnsiTheme="minorHAnsi" w:cstheme="minorHAnsi"/>
                <w:sz w:val="20"/>
                <w:szCs w:val="20"/>
              </w:rPr>
              <w:t xml:space="preserve"> (as applicable to the practice environment)</w:t>
            </w:r>
            <w:r w:rsidR="00EE039E" w:rsidRPr="008C70F3">
              <w:rPr>
                <w:rFonts w:asciiTheme="minorHAnsi" w:eastAsia="Calibri" w:hAnsiTheme="minorHAnsi" w:cstheme="minorHAnsi"/>
                <w:sz w:val="20"/>
                <w:szCs w:val="20"/>
              </w:rPr>
              <w:t>:</w:t>
            </w:r>
            <w:r w:rsidRPr="008C70F3">
              <w:rPr>
                <w:rFonts w:asciiTheme="minorHAnsi" w:eastAsia="Calibri" w:hAnsiTheme="minorHAnsi" w:cstheme="minorHAnsi"/>
                <w:sz w:val="20"/>
                <w:szCs w:val="20"/>
              </w:rPr>
              <w:t xml:space="preserve"> </w:t>
            </w:r>
          </w:p>
          <w:p w14:paraId="204FA7A1" w14:textId="77777777" w:rsidR="00D46A79" w:rsidRPr="00CD2195" w:rsidRDefault="00EE039E" w:rsidP="00002DF2">
            <w:pPr>
              <w:pStyle w:val="NormalWeb"/>
              <w:numPr>
                <w:ilvl w:val="0"/>
                <w:numId w:val="6"/>
              </w:numPr>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eastAsia="Calibri" w:hAnsiTheme="minorHAnsi" w:cstheme="minorHAnsi"/>
                <w:sz w:val="20"/>
                <w:szCs w:val="20"/>
              </w:rPr>
              <w:t>P</w:t>
            </w:r>
            <w:r w:rsidR="00E1034B" w:rsidRPr="00CD2195">
              <w:rPr>
                <w:rFonts w:asciiTheme="minorHAnsi" w:eastAsia="Calibri" w:hAnsiTheme="minorHAnsi" w:cstheme="minorHAnsi"/>
                <w:sz w:val="20"/>
                <w:szCs w:val="20"/>
              </w:rPr>
              <w:t>harmacist-managed service outcomes such as</w:t>
            </w:r>
            <w:r w:rsidR="003966EC">
              <w:rPr>
                <w:rFonts w:asciiTheme="minorHAnsi" w:hAnsiTheme="minorHAnsi" w:cstheme="minorHAnsi"/>
                <w:sz w:val="20"/>
                <w:szCs w:val="20"/>
              </w:rPr>
              <w:t xml:space="preserve"> outcomes of a pharmacist-managed vancomycin or warfarin dosing service,</w:t>
            </w:r>
          </w:p>
          <w:p w14:paraId="4651579D" w14:textId="1DB7840E" w:rsidR="00F95859" w:rsidRPr="00CD2195" w:rsidRDefault="00D46A79" w:rsidP="00002DF2">
            <w:pPr>
              <w:pStyle w:val="NormalWeb"/>
              <w:numPr>
                <w:ilvl w:val="0"/>
                <w:numId w:val="6"/>
              </w:numPr>
              <w:spacing w:before="0" w:before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eastAsia="Calibri" w:hAnsiTheme="minorHAnsi" w:cstheme="minorHAnsi"/>
                <w:sz w:val="20"/>
                <w:szCs w:val="20"/>
              </w:rPr>
              <w:t>P</w:t>
            </w:r>
            <w:r w:rsidR="00E1034B" w:rsidRPr="00CD2195">
              <w:rPr>
                <w:rFonts w:asciiTheme="minorHAnsi" w:eastAsia="Calibri" w:hAnsiTheme="minorHAnsi" w:cstheme="minorHAnsi"/>
                <w:sz w:val="20"/>
                <w:szCs w:val="20"/>
              </w:rPr>
              <w:t>ercent of patients at established</w:t>
            </w:r>
            <w:r w:rsidR="00B54EB2" w:rsidRPr="00CD2195">
              <w:rPr>
                <w:rFonts w:asciiTheme="minorHAnsi" w:eastAsia="Calibri" w:hAnsiTheme="minorHAnsi" w:cstheme="minorHAnsi"/>
                <w:sz w:val="20"/>
                <w:szCs w:val="20"/>
              </w:rPr>
              <w:t xml:space="preserve"> therapeutic goals for A1c, blood pressure, lipid profile,</w:t>
            </w:r>
            <w:r w:rsidR="004A537F">
              <w:rPr>
                <w:rFonts w:asciiTheme="minorHAnsi" w:eastAsia="Calibri" w:hAnsiTheme="minorHAnsi" w:cstheme="minorHAnsi"/>
                <w:sz w:val="20"/>
                <w:szCs w:val="20"/>
              </w:rPr>
              <w:t xml:space="preserve"> etc.</w:t>
            </w:r>
            <w:r w:rsidR="00B54EB2" w:rsidRPr="00CD2195">
              <w:rPr>
                <w:rFonts w:asciiTheme="minorHAnsi" w:eastAsia="Calibri" w:hAnsiTheme="minorHAnsi" w:cstheme="minorHAnsi"/>
                <w:sz w:val="20"/>
                <w:szCs w:val="20"/>
              </w:rPr>
              <w:t xml:space="preserve"> </w:t>
            </w:r>
          </w:p>
          <w:p w14:paraId="027850F1" w14:textId="77777777" w:rsidR="004A537F" w:rsidRPr="00CD2195" w:rsidRDefault="00F95859" w:rsidP="00576F8C">
            <w:pPr>
              <w:pStyle w:val="NormalWeb"/>
              <w:numPr>
                <w:ilvl w:val="0"/>
                <w:numId w:val="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eastAsia="Calibri" w:hAnsiTheme="minorHAnsi" w:cstheme="minorHAnsi"/>
                <w:sz w:val="20"/>
                <w:szCs w:val="20"/>
              </w:rPr>
              <w:t>A</w:t>
            </w:r>
            <w:r w:rsidR="00B54EB2" w:rsidRPr="00CD2195">
              <w:rPr>
                <w:rFonts w:asciiTheme="minorHAnsi" w:eastAsia="Calibri" w:hAnsiTheme="minorHAnsi" w:cstheme="minorHAnsi"/>
                <w:sz w:val="20"/>
                <w:szCs w:val="20"/>
              </w:rPr>
              <w:t>ntimicrobial stewardship program reporting metrics</w:t>
            </w:r>
          </w:p>
          <w:p w14:paraId="1B802E59" w14:textId="3D5CF809" w:rsidR="00AC0C7F" w:rsidRPr="00BC1B55" w:rsidRDefault="00515D37" w:rsidP="00576F8C">
            <w:pPr>
              <w:pStyle w:val="NormalWeb"/>
              <w:numPr>
                <w:ilvl w:val="0"/>
                <w:numId w:val="5"/>
              </w:numPr>
              <w:autoSpaceDE w:val="0"/>
              <w:autoSpaceDN w:val="0"/>
              <w:adjustRightIn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C1B55">
              <w:rPr>
                <w:rFonts w:asciiTheme="minorHAnsi" w:eastAsia="Calibri" w:hAnsiTheme="minorHAnsi" w:cstheme="minorHAnsi"/>
                <w:sz w:val="20"/>
                <w:szCs w:val="20"/>
              </w:rPr>
              <w:t>C</w:t>
            </w:r>
            <w:r w:rsidR="00B54EB2" w:rsidRPr="00BC1B55">
              <w:rPr>
                <w:rFonts w:asciiTheme="minorHAnsi" w:eastAsia="Calibri" w:hAnsiTheme="minorHAnsi" w:cstheme="minorHAnsi"/>
                <w:sz w:val="20"/>
                <w:szCs w:val="20"/>
              </w:rPr>
              <w:t>apture rate of eligible patients</w:t>
            </w:r>
            <w:r w:rsidR="00F11635" w:rsidRPr="00BC1B55">
              <w:rPr>
                <w:rFonts w:asciiTheme="minorHAnsi" w:eastAsia="Calibri" w:hAnsiTheme="minorHAnsi" w:cstheme="minorHAnsi"/>
                <w:sz w:val="20"/>
                <w:szCs w:val="20"/>
              </w:rPr>
              <w:t xml:space="preserve"> for pharmacist-managed services</w:t>
            </w:r>
            <w:r w:rsidR="00A6726B" w:rsidRPr="00BC1B55">
              <w:rPr>
                <w:rFonts w:asciiTheme="minorHAnsi" w:eastAsia="Calibri" w:hAnsiTheme="minorHAnsi" w:cstheme="minorHAnsi"/>
                <w:sz w:val="20"/>
                <w:szCs w:val="20"/>
              </w:rPr>
              <w:t xml:space="preserve"> in a managed care environment.</w:t>
            </w:r>
            <w:r w:rsidR="00B54EB2" w:rsidRPr="00BC1B55">
              <w:rPr>
                <w:rFonts w:asciiTheme="minorHAnsi" w:hAnsiTheme="minorHAnsi" w:cstheme="minorHAnsi"/>
                <w:sz w:val="20"/>
                <w:szCs w:val="20"/>
              </w:rPr>
              <w:t xml:space="preserve"> </w:t>
            </w:r>
          </w:p>
          <w:p w14:paraId="7CA6C758" w14:textId="45B0BEC6" w:rsidR="000F7D4C" w:rsidRPr="00BC1B55" w:rsidRDefault="00A6726B" w:rsidP="004F6A7C">
            <w:pPr>
              <w:pStyle w:val="ListParagraph"/>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BC1B55">
              <w:rPr>
                <w:rFonts w:cstheme="minorHAnsi"/>
                <w:iCs/>
                <w:sz w:val="20"/>
                <w:szCs w:val="20"/>
              </w:rPr>
              <w:t>I</w:t>
            </w:r>
            <w:r w:rsidR="00AC0C7F" w:rsidRPr="00BC1B55">
              <w:rPr>
                <w:rFonts w:cstheme="minorHAnsi"/>
                <w:iCs/>
                <w:sz w:val="20"/>
                <w:szCs w:val="20"/>
              </w:rPr>
              <w:t>mpact on medication compliance/adherence as a result medication synchronization programs (e.g., EQuIPP scores)</w:t>
            </w:r>
          </w:p>
          <w:p w14:paraId="1B802E5A" w14:textId="1DD00E79" w:rsidR="00AC0C7F" w:rsidRPr="00CD2195" w:rsidRDefault="006E2176" w:rsidP="00CD2195">
            <w:pPr>
              <w:pStyle w:val="ListParagraph"/>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Fonts w:cstheme="minorHAnsi"/>
                <w:iCs/>
                <w:sz w:val="20"/>
                <w:szCs w:val="20"/>
              </w:rPr>
              <w:t>U</w:t>
            </w:r>
            <w:r w:rsidR="00AC0C7F" w:rsidRPr="000F7D4C">
              <w:rPr>
                <w:rFonts w:cstheme="minorHAnsi"/>
                <w:iCs/>
                <w:sz w:val="20"/>
                <w:szCs w:val="20"/>
              </w:rPr>
              <w:t xml:space="preserve">tilization of and patient access to naloxone and/or other medications that can be “prescribed per protocol” via state-based protocols </w:t>
            </w:r>
          </w:p>
        </w:tc>
        <w:tc>
          <w:tcPr>
            <w:cnfStyle w:val="000010000000" w:firstRow="0" w:lastRow="0" w:firstColumn="0" w:lastColumn="0" w:oddVBand="1" w:evenVBand="0" w:oddHBand="0" w:evenHBand="0" w:firstRowFirstColumn="0" w:firstRowLastColumn="0" w:lastRowFirstColumn="0" w:lastRowLastColumn="0"/>
            <w:tcW w:w="1798" w:type="dxa"/>
          </w:tcPr>
          <w:p w14:paraId="1B802E5B" w14:textId="77777777" w:rsidR="00AC0C7F" w:rsidRPr="00965246" w:rsidRDefault="00AC0C7F" w:rsidP="00AC0C7F">
            <w:pPr>
              <w:autoSpaceDE w:val="0"/>
              <w:autoSpaceDN w:val="0"/>
              <w:adjustRightInd w:val="0"/>
              <w:jc w:val="center"/>
              <w:rPr>
                <w:rFonts w:cs="Calibri"/>
                <w:sz w:val="20"/>
                <w:szCs w:val="20"/>
              </w:rPr>
            </w:pPr>
            <w:r w:rsidRPr="00965246">
              <w:rPr>
                <w:rFonts w:cs="Calibri"/>
                <w:sz w:val="20"/>
                <w:szCs w:val="20"/>
              </w:rPr>
              <w:t>Standard 5.2.g.1</w:t>
            </w:r>
          </w:p>
        </w:tc>
      </w:tr>
      <w:tr w:rsidR="00AC0C7F" w:rsidRPr="0053571B" w14:paraId="1B802E64" w14:textId="77777777" w:rsidTr="00E24ADA">
        <w:trPr>
          <w:trHeight w:val="251"/>
        </w:trPr>
        <w:tc>
          <w:tcPr>
            <w:cnfStyle w:val="000010000000" w:firstRow="0" w:lastRow="0" w:firstColumn="0" w:lastColumn="0" w:oddVBand="1" w:evenVBand="0" w:oddHBand="0" w:evenHBand="0" w:firstRowFirstColumn="0" w:firstRowLastColumn="0" w:lastRowFirstColumn="0" w:lastRowLastColumn="0"/>
            <w:tcW w:w="2520" w:type="dxa"/>
          </w:tcPr>
          <w:p w14:paraId="1B802E61" w14:textId="3BCED8F1" w:rsidR="00AC0C7F" w:rsidRPr="00223E4D" w:rsidRDefault="00AC0C7F" w:rsidP="00AC0C7F">
            <w:pPr>
              <w:autoSpaceDE w:val="0"/>
              <w:autoSpaceDN w:val="0"/>
              <w:adjustRightInd w:val="0"/>
              <w:rPr>
                <w:rFonts w:cs="Calibri"/>
                <w:b/>
                <w:bCs/>
                <w:sz w:val="20"/>
                <w:szCs w:val="20"/>
              </w:rPr>
            </w:pPr>
            <w:r w:rsidRPr="00223E4D">
              <w:rPr>
                <w:rFonts w:cs="Calibri"/>
                <w:b/>
                <w:bCs/>
                <w:sz w:val="20"/>
                <w:szCs w:val="20"/>
              </w:rPr>
              <w:lastRenderedPageBreak/>
              <w:t>Collaborative Practice Agreements</w:t>
            </w:r>
            <w:r w:rsidR="002D51D6">
              <w:rPr>
                <w:rFonts w:cs="Calibri"/>
                <w:b/>
                <w:bCs/>
                <w:sz w:val="20"/>
                <w:szCs w:val="20"/>
              </w:rPr>
              <w:t>/Scope of Practice Documents</w:t>
            </w:r>
          </w:p>
        </w:tc>
        <w:tc>
          <w:tcPr>
            <w:tcW w:w="6238" w:type="dxa"/>
            <w:gridSpan w:val="3"/>
          </w:tcPr>
          <w:p w14:paraId="1E4F5808" w14:textId="77777777" w:rsidR="0059648D" w:rsidRDefault="007F7B20"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For </w:t>
            </w:r>
            <w:r w:rsidR="00395EC5">
              <w:rPr>
                <w:rFonts w:cs="Calibri"/>
                <w:sz w:val="20"/>
                <w:szCs w:val="20"/>
              </w:rPr>
              <w:t>PGY1 community-based pharmacy programs</w:t>
            </w:r>
            <w:r w:rsidR="00770B3C">
              <w:rPr>
                <w:rFonts w:cs="Calibri"/>
                <w:sz w:val="20"/>
                <w:szCs w:val="20"/>
              </w:rPr>
              <w:t xml:space="preserve">, </w:t>
            </w:r>
            <w:r w:rsidR="00DC3D28">
              <w:rPr>
                <w:rFonts w:cs="Calibri"/>
                <w:sz w:val="20"/>
                <w:szCs w:val="20"/>
              </w:rPr>
              <w:t xml:space="preserve">PGY1 managed care pharmacy programs, and </w:t>
            </w:r>
            <w:r w:rsidR="00395EC5">
              <w:rPr>
                <w:rFonts w:cs="Calibri"/>
                <w:sz w:val="20"/>
                <w:szCs w:val="20"/>
              </w:rPr>
              <w:t xml:space="preserve">any PGY1 </w:t>
            </w:r>
            <w:r w:rsidR="00604257">
              <w:rPr>
                <w:rFonts w:cs="Calibri"/>
                <w:sz w:val="20"/>
                <w:szCs w:val="20"/>
              </w:rPr>
              <w:t xml:space="preserve">pharmacy </w:t>
            </w:r>
            <w:r w:rsidR="00395EC5">
              <w:rPr>
                <w:rFonts w:cs="Calibri"/>
                <w:sz w:val="20"/>
                <w:szCs w:val="20"/>
              </w:rPr>
              <w:t xml:space="preserve">or PGY2 programs conducted in </w:t>
            </w:r>
            <w:r w:rsidR="00492CBF">
              <w:rPr>
                <w:rFonts w:cs="Calibri"/>
                <w:sz w:val="20"/>
                <w:szCs w:val="20"/>
              </w:rPr>
              <w:t>an ambulatory care environment</w:t>
            </w:r>
            <w:r w:rsidR="0059648D">
              <w:rPr>
                <w:rFonts w:cs="Calibri"/>
                <w:sz w:val="20"/>
                <w:szCs w:val="20"/>
              </w:rPr>
              <w:t>:</w:t>
            </w:r>
          </w:p>
          <w:p w14:paraId="1B802E62" w14:textId="08A151FE" w:rsidR="00AC0C7F" w:rsidRPr="0053571B" w:rsidRDefault="0059648D" w:rsidP="00AC0C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w:t>
            </w:r>
            <w:r w:rsidR="00AC0C7F" w:rsidRPr="0053571B">
              <w:rPr>
                <w:rFonts w:cs="Calibri"/>
                <w:sz w:val="20"/>
                <w:szCs w:val="20"/>
              </w:rPr>
              <w:t>ubmit Collaborative Practice Agreements</w:t>
            </w:r>
            <w:r w:rsidR="00C05C50">
              <w:rPr>
                <w:rFonts w:cs="Calibri"/>
                <w:sz w:val="20"/>
                <w:szCs w:val="20"/>
              </w:rPr>
              <w:t>/Scope of Practice Do</w:t>
            </w:r>
            <w:r w:rsidR="002D51D6">
              <w:rPr>
                <w:rFonts w:cs="Calibri"/>
                <w:sz w:val="20"/>
                <w:szCs w:val="20"/>
              </w:rPr>
              <w:t>cuments</w:t>
            </w:r>
            <w:r w:rsidR="00AC0C7F" w:rsidRPr="0053571B">
              <w:rPr>
                <w:rFonts w:cs="Calibri"/>
                <w:sz w:val="20"/>
                <w:szCs w:val="20"/>
              </w:rPr>
              <w:t xml:space="preserve"> that allow pharmacists to initiate, modify, discontinue, and/or administer medication therapy as authorized and in accordance with the scope of their practice as defined by state laws and/or practice site policies.  </w:t>
            </w:r>
          </w:p>
        </w:tc>
        <w:tc>
          <w:tcPr>
            <w:cnfStyle w:val="000010000000" w:firstRow="0" w:lastRow="0" w:firstColumn="0" w:lastColumn="0" w:oddVBand="1" w:evenVBand="0" w:oddHBand="0" w:evenHBand="0" w:firstRowFirstColumn="0" w:firstRowLastColumn="0" w:lastRowFirstColumn="0" w:lastRowLastColumn="0"/>
            <w:tcW w:w="1798" w:type="dxa"/>
          </w:tcPr>
          <w:p w14:paraId="1B802E63" w14:textId="77777777" w:rsidR="00AC0C7F" w:rsidRPr="0053571B" w:rsidRDefault="00AC0C7F" w:rsidP="00AC0C7F">
            <w:pPr>
              <w:autoSpaceDE w:val="0"/>
              <w:autoSpaceDN w:val="0"/>
              <w:adjustRightInd w:val="0"/>
              <w:jc w:val="center"/>
              <w:rPr>
                <w:rFonts w:cs="Calibri"/>
                <w:sz w:val="20"/>
                <w:szCs w:val="20"/>
              </w:rPr>
            </w:pPr>
            <w:r w:rsidRPr="0053571B">
              <w:rPr>
                <w:rFonts w:cs="Calibri"/>
                <w:sz w:val="20"/>
                <w:szCs w:val="20"/>
              </w:rPr>
              <w:t xml:space="preserve">Standard 5.1.a.7 5.2.g , 5.3.b.2 </w:t>
            </w:r>
          </w:p>
        </w:tc>
      </w:tr>
      <w:tr w:rsidR="00AC0C7F" w:rsidRPr="0053571B" w14:paraId="1B802E6B" w14:textId="77777777" w:rsidTr="00E24ADA">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520" w:type="dxa"/>
            <w:shd w:val="clear" w:color="auto" w:fill="C6D9F1"/>
          </w:tcPr>
          <w:p w14:paraId="1B802E69" w14:textId="77777777" w:rsidR="00AC0C7F" w:rsidRPr="00223E4D" w:rsidRDefault="00AC0C7F" w:rsidP="00AC0C7F">
            <w:pPr>
              <w:autoSpaceDE w:val="0"/>
              <w:autoSpaceDN w:val="0"/>
              <w:adjustRightInd w:val="0"/>
              <w:rPr>
                <w:rFonts w:cs="Calibri"/>
                <w:b/>
                <w:bCs/>
                <w:sz w:val="20"/>
                <w:szCs w:val="20"/>
              </w:rPr>
            </w:pPr>
          </w:p>
        </w:tc>
        <w:tc>
          <w:tcPr>
            <w:tcW w:w="8036" w:type="dxa"/>
            <w:gridSpan w:val="4"/>
            <w:shd w:val="clear" w:color="auto" w:fill="BDD6EE"/>
          </w:tcPr>
          <w:p w14:paraId="1B802E6A" w14:textId="77777777" w:rsidR="00AC0C7F" w:rsidRPr="00DA7468" w:rsidRDefault="00AC0C7F" w:rsidP="00AC0C7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0"/>
                <w:szCs w:val="20"/>
              </w:rPr>
            </w:pPr>
          </w:p>
        </w:tc>
      </w:tr>
      <w:bookmarkEnd w:id="1"/>
    </w:tbl>
    <w:p w14:paraId="1B802E6C" w14:textId="77777777" w:rsidR="008258D1" w:rsidRPr="0053571B" w:rsidRDefault="008258D1" w:rsidP="008258D1">
      <w:pPr>
        <w:autoSpaceDE w:val="0"/>
        <w:autoSpaceDN w:val="0"/>
        <w:adjustRightInd w:val="0"/>
        <w:spacing w:after="0"/>
        <w:jc w:val="both"/>
        <w:rPr>
          <w:rFonts w:ascii="Calibri" w:eastAsia="Calibri" w:hAnsi="Calibri" w:cs="Calibri"/>
          <w:color w:val="000000"/>
          <w:sz w:val="20"/>
          <w:szCs w:val="20"/>
        </w:rPr>
      </w:pPr>
    </w:p>
    <w:p w14:paraId="1B802E6D" w14:textId="2FCE9A79" w:rsidR="00E24ADA" w:rsidRPr="00223E4D" w:rsidRDefault="00E24ADA" w:rsidP="008258D1">
      <w:pPr>
        <w:autoSpaceDE w:val="0"/>
        <w:autoSpaceDN w:val="0"/>
        <w:adjustRightInd w:val="0"/>
        <w:spacing w:after="0"/>
        <w:jc w:val="both"/>
        <w:rPr>
          <w:rFonts w:ascii="Calibri" w:eastAsia="Calibri" w:hAnsi="Calibri" w:cs="Calibri"/>
          <w:sz w:val="20"/>
          <w:szCs w:val="20"/>
        </w:rPr>
      </w:pPr>
    </w:p>
    <w:sectPr w:rsidR="00E24ADA" w:rsidRPr="00223E4D" w:rsidSect="00F10D01">
      <w:footerReference w:type="defaul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8484" w14:textId="77777777" w:rsidR="0016561F" w:rsidRDefault="0016561F" w:rsidP="00F10D01">
      <w:pPr>
        <w:spacing w:after="0" w:line="240" w:lineRule="auto"/>
      </w:pPr>
      <w:r>
        <w:separator/>
      </w:r>
    </w:p>
  </w:endnote>
  <w:endnote w:type="continuationSeparator" w:id="0">
    <w:p w14:paraId="783281A6" w14:textId="77777777" w:rsidR="0016561F" w:rsidRDefault="0016561F" w:rsidP="00F1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02E74" w14:textId="6F978A20" w:rsidR="009557BA" w:rsidRDefault="007E1AB6">
    <w:pPr>
      <w:pStyle w:val="Footer"/>
    </w:pPr>
    <w:r>
      <w:t>ASHP</w:t>
    </w:r>
    <w:r w:rsidR="00C9017E">
      <w:t>-</w:t>
    </w:r>
    <w:r>
      <w:t>Accreditation Services-202</w:t>
    </w:r>
    <w:r w:rsidR="00770CF9">
      <w:t>5-0</w:t>
    </w:r>
    <w:r w:rsidR="00DE37CA">
      <w:t>215</w:t>
    </w:r>
  </w:p>
  <w:p w14:paraId="1B802E75" w14:textId="77777777" w:rsidR="009557BA" w:rsidRDefault="0095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7760" w14:textId="77777777" w:rsidR="0016561F" w:rsidRDefault="0016561F" w:rsidP="00F10D01">
      <w:pPr>
        <w:spacing w:after="0" w:line="240" w:lineRule="auto"/>
      </w:pPr>
      <w:r>
        <w:separator/>
      </w:r>
    </w:p>
  </w:footnote>
  <w:footnote w:type="continuationSeparator" w:id="0">
    <w:p w14:paraId="4D8C128E" w14:textId="77777777" w:rsidR="0016561F" w:rsidRDefault="0016561F" w:rsidP="00F1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F3B5B"/>
    <w:multiLevelType w:val="hybridMultilevel"/>
    <w:tmpl w:val="061C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22E89"/>
    <w:multiLevelType w:val="hybridMultilevel"/>
    <w:tmpl w:val="177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2919"/>
    <w:multiLevelType w:val="hybridMultilevel"/>
    <w:tmpl w:val="4C7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22D2C"/>
    <w:multiLevelType w:val="hybridMultilevel"/>
    <w:tmpl w:val="53AC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D090E"/>
    <w:multiLevelType w:val="hybridMultilevel"/>
    <w:tmpl w:val="1C925F1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02452D"/>
    <w:multiLevelType w:val="hybridMultilevel"/>
    <w:tmpl w:val="EAE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17CA9"/>
    <w:multiLevelType w:val="hybridMultilevel"/>
    <w:tmpl w:val="55F2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57E3F"/>
    <w:multiLevelType w:val="hybridMultilevel"/>
    <w:tmpl w:val="9DA8D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6363780">
    <w:abstractNumId w:val="5"/>
  </w:num>
  <w:num w:numId="2" w16cid:durableId="775833034">
    <w:abstractNumId w:val="6"/>
  </w:num>
  <w:num w:numId="3" w16cid:durableId="1616670559">
    <w:abstractNumId w:val="3"/>
  </w:num>
  <w:num w:numId="4" w16cid:durableId="1087733227">
    <w:abstractNumId w:val="7"/>
  </w:num>
  <w:num w:numId="5" w16cid:durableId="388460598">
    <w:abstractNumId w:val="0"/>
  </w:num>
  <w:num w:numId="6" w16cid:durableId="402528771">
    <w:abstractNumId w:val="1"/>
  </w:num>
  <w:num w:numId="7" w16cid:durableId="2036346302">
    <w:abstractNumId w:val="4"/>
  </w:num>
  <w:num w:numId="8" w16cid:durableId="164878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D1"/>
    <w:rsid w:val="00002DF2"/>
    <w:rsid w:val="00022436"/>
    <w:rsid w:val="00022EC3"/>
    <w:rsid w:val="000234D6"/>
    <w:rsid w:val="00030749"/>
    <w:rsid w:val="000355AF"/>
    <w:rsid w:val="00036180"/>
    <w:rsid w:val="0004166F"/>
    <w:rsid w:val="00047F76"/>
    <w:rsid w:val="000665D0"/>
    <w:rsid w:val="00071E22"/>
    <w:rsid w:val="00072EF5"/>
    <w:rsid w:val="00076A27"/>
    <w:rsid w:val="00084E8F"/>
    <w:rsid w:val="00086E55"/>
    <w:rsid w:val="000A1914"/>
    <w:rsid w:val="000A4FD1"/>
    <w:rsid w:val="000B39C6"/>
    <w:rsid w:val="000C1C7C"/>
    <w:rsid w:val="000C2D3B"/>
    <w:rsid w:val="000C2EE6"/>
    <w:rsid w:val="000D1A1C"/>
    <w:rsid w:val="000F7D4C"/>
    <w:rsid w:val="00101C2D"/>
    <w:rsid w:val="00104227"/>
    <w:rsid w:val="00107AF4"/>
    <w:rsid w:val="00107B25"/>
    <w:rsid w:val="00131156"/>
    <w:rsid w:val="00147E19"/>
    <w:rsid w:val="00163E3E"/>
    <w:rsid w:val="00163F6D"/>
    <w:rsid w:val="0016561F"/>
    <w:rsid w:val="00167A32"/>
    <w:rsid w:val="00173818"/>
    <w:rsid w:val="0017485C"/>
    <w:rsid w:val="001756A3"/>
    <w:rsid w:val="001829A7"/>
    <w:rsid w:val="00183697"/>
    <w:rsid w:val="001A6BD0"/>
    <w:rsid w:val="001B0ADF"/>
    <w:rsid w:val="001C333B"/>
    <w:rsid w:val="001D3A9D"/>
    <w:rsid w:val="001D3D58"/>
    <w:rsid w:val="001E0929"/>
    <w:rsid w:val="0020514B"/>
    <w:rsid w:val="00213BF8"/>
    <w:rsid w:val="0022248E"/>
    <w:rsid w:val="00223E4D"/>
    <w:rsid w:val="00224F9A"/>
    <w:rsid w:val="00230A98"/>
    <w:rsid w:val="00231EC0"/>
    <w:rsid w:val="0023529D"/>
    <w:rsid w:val="002812E4"/>
    <w:rsid w:val="00293503"/>
    <w:rsid w:val="0029548F"/>
    <w:rsid w:val="002A2F12"/>
    <w:rsid w:val="002B250B"/>
    <w:rsid w:val="002C0766"/>
    <w:rsid w:val="002C33F3"/>
    <w:rsid w:val="002C606F"/>
    <w:rsid w:val="002D51D6"/>
    <w:rsid w:val="002D60C8"/>
    <w:rsid w:val="002D713D"/>
    <w:rsid w:val="002E25E3"/>
    <w:rsid w:val="002F4A5B"/>
    <w:rsid w:val="002F65CF"/>
    <w:rsid w:val="00302C28"/>
    <w:rsid w:val="00306C51"/>
    <w:rsid w:val="003258AF"/>
    <w:rsid w:val="00331323"/>
    <w:rsid w:val="003317EF"/>
    <w:rsid w:val="00345E8A"/>
    <w:rsid w:val="003701A8"/>
    <w:rsid w:val="003703D5"/>
    <w:rsid w:val="0037093A"/>
    <w:rsid w:val="00383A37"/>
    <w:rsid w:val="003874B5"/>
    <w:rsid w:val="0039504B"/>
    <w:rsid w:val="00395EC5"/>
    <w:rsid w:val="003966EC"/>
    <w:rsid w:val="00397CB0"/>
    <w:rsid w:val="003C29A0"/>
    <w:rsid w:val="003D28D1"/>
    <w:rsid w:val="003E7C1E"/>
    <w:rsid w:val="003E7D13"/>
    <w:rsid w:val="004038B8"/>
    <w:rsid w:val="004075F6"/>
    <w:rsid w:val="00414033"/>
    <w:rsid w:val="004400CF"/>
    <w:rsid w:val="004472C7"/>
    <w:rsid w:val="00464E71"/>
    <w:rsid w:val="00482B1E"/>
    <w:rsid w:val="00492CBF"/>
    <w:rsid w:val="004A537F"/>
    <w:rsid w:val="004A69A1"/>
    <w:rsid w:val="004B4212"/>
    <w:rsid w:val="004C678B"/>
    <w:rsid w:val="004D45D4"/>
    <w:rsid w:val="004D4855"/>
    <w:rsid w:val="004E0E9E"/>
    <w:rsid w:val="004F08F8"/>
    <w:rsid w:val="00515D37"/>
    <w:rsid w:val="0053571B"/>
    <w:rsid w:val="00535972"/>
    <w:rsid w:val="00535E8F"/>
    <w:rsid w:val="0054185B"/>
    <w:rsid w:val="005558A0"/>
    <w:rsid w:val="00566CFF"/>
    <w:rsid w:val="005675E8"/>
    <w:rsid w:val="00573C23"/>
    <w:rsid w:val="00576F8C"/>
    <w:rsid w:val="0059648D"/>
    <w:rsid w:val="005A0A59"/>
    <w:rsid w:val="005A0D77"/>
    <w:rsid w:val="005C00FD"/>
    <w:rsid w:val="005C0FE3"/>
    <w:rsid w:val="005D7E2B"/>
    <w:rsid w:val="005F16E7"/>
    <w:rsid w:val="005F6DAA"/>
    <w:rsid w:val="00604257"/>
    <w:rsid w:val="006075DD"/>
    <w:rsid w:val="006204D7"/>
    <w:rsid w:val="006234B9"/>
    <w:rsid w:val="0062502F"/>
    <w:rsid w:val="00626AB1"/>
    <w:rsid w:val="00631B17"/>
    <w:rsid w:val="0063247A"/>
    <w:rsid w:val="00644DF6"/>
    <w:rsid w:val="00651D28"/>
    <w:rsid w:val="0065370E"/>
    <w:rsid w:val="006716E9"/>
    <w:rsid w:val="00682D9D"/>
    <w:rsid w:val="006A0F17"/>
    <w:rsid w:val="006A6251"/>
    <w:rsid w:val="006B0AF8"/>
    <w:rsid w:val="006B3E0A"/>
    <w:rsid w:val="006B5229"/>
    <w:rsid w:val="006B6EEE"/>
    <w:rsid w:val="006B71A3"/>
    <w:rsid w:val="006B7D81"/>
    <w:rsid w:val="006C1306"/>
    <w:rsid w:val="006C7149"/>
    <w:rsid w:val="006D32ED"/>
    <w:rsid w:val="006D6830"/>
    <w:rsid w:val="006E2176"/>
    <w:rsid w:val="006E6992"/>
    <w:rsid w:val="0070313A"/>
    <w:rsid w:val="00703B3E"/>
    <w:rsid w:val="0073070B"/>
    <w:rsid w:val="00730B4C"/>
    <w:rsid w:val="007409D3"/>
    <w:rsid w:val="00746204"/>
    <w:rsid w:val="0075430F"/>
    <w:rsid w:val="00754CDC"/>
    <w:rsid w:val="00756B81"/>
    <w:rsid w:val="00767618"/>
    <w:rsid w:val="00770B3C"/>
    <w:rsid w:val="00770CF9"/>
    <w:rsid w:val="007811FB"/>
    <w:rsid w:val="00781547"/>
    <w:rsid w:val="00783D0F"/>
    <w:rsid w:val="007951B5"/>
    <w:rsid w:val="00797878"/>
    <w:rsid w:val="007A0798"/>
    <w:rsid w:val="007A3061"/>
    <w:rsid w:val="007A56B6"/>
    <w:rsid w:val="007A6267"/>
    <w:rsid w:val="007B4AB5"/>
    <w:rsid w:val="007C0E72"/>
    <w:rsid w:val="007C26DF"/>
    <w:rsid w:val="007D10EC"/>
    <w:rsid w:val="007E1AB6"/>
    <w:rsid w:val="007F2649"/>
    <w:rsid w:val="007F42F9"/>
    <w:rsid w:val="007F43C1"/>
    <w:rsid w:val="007F7B20"/>
    <w:rsid w:val="008045A3"/>
    <w:rsid w:val="008124D9"/>
    <w:rsid w:val="00821E24"/>
    <w:rsid w:val="008258D1"/>
    <w:rsid w:val="00832918"/>
    <w:rsid w:val="00845D5B"/>
    <w:rsid w:val="0084793F"/>
    <w:rsid w:val="00851CF1"/>
    <w:rsid w:val="008539B1"/>
    <w:rsid w:val="00870BB2"/>
    <w:rsid w:val="00880F03"/>
    <w:rsid w:val="00880FC1"/>
    <w:rsid w:val="00881886"/>
    <w:rsid w:val="00884F63"/>
    <w:rsid w:val="00890997"/>
    <w:rsid w:val="00893F09"/>
    <w:rsid w:val="008945BD"/>
    <w:rsid w:val="00895A68"/>
    <w:rsid w:val="0089735A"/>
    <w:rsid w:val="008B0C4E"/>
    <w:rsid w:val="008C2070"/>
    <w:rsid w:val="008C4CF8"/>
    <w:rsid w:val="008C6729"/>
    <w:rsid w:val="008C697B"/>
    <w:rsid w:val="008C70F3"/>
    <w:rsid w:val="008E0095"/>
    <w:rsid w:val="008E135F"/>
    <w:rsid w:val="008F550D"/>
    <w:rsid w:val="00910134"/>
    <w:rsid w:val="009107F4"/>
    <w:rsid w:val="00917ADA"/>
    <w:rsid w:val="0092529B"/>
    <w:rsid w:val="00927A11"/>
    <w:rsid w:val="009321A3"/>
    <w:rsid w:val="00933A57"/>
    <w:rsid w:val="009361AA"/>
    <w:rsid w:val="009557BA"/>
    <w:rsid w:val="00956C88"/>
    <w:rsid w:val="00965246"/>
    <w:rsid w:val="0096571A"/>
    <w:rsid w:val="00967968"/>
    <w:rsid w:val="00980E55"/>
    <w:rsid w:val="0098620B"/>
    <w:rsid w:val="009931BA"/>
    <w:rsid w:val="009A2405"/>
    <w:rsid w:val="009A2D6E"/>
    <w:rsid w:val="009C1B11"/>
    <w:rsid w:val="009C70EC"/>
    <w:rsid w:val="009C7D5A"/>
    <w:rsid w:val="009E286F"/>
    <w:rsid w:val="009E2CD1"/>
    <w:rsid w:val="009F3A71"/>
    <w:rsid w:val="009F6327"/>
    <w:rsid w:val="00A01C9C"/>
    <w:rsid w:val="00A04A33"/>
    <w:rsid w:val="00A04D1D"/>
    <w:rsid w:val="00A051B2"/>
    <w:rsid w:val="00A14FCB"/>
    <w:rsid w:val="00A21F4E"/>
    <w:rsid w:val="00A26903"/>
    <w:rsid w:val="00A36BF8"/>
    <w:rsid w:val="00A40E65"/>
    <w:rsid w:val="00A466DE"/>
    <w:rsid w:val="00A6726B"/>
    <w:rsid w:val="00A86E65"/>
    <w:rsid w:val="00A9314E"/>
    <w:rsid w:val="00AA7F12"/>
    <w:rsid w:val="00AB33DF"/>
    <w:rsid w:val="00AC0C7F"/>
    <w:rsid w:val="00AD44C4"/>
    <w:rsid w:val="00AF1002"/>
    <w:rsid w:val="00AF4948"/>
    <w:rsid w:val="00AF677F"/>
    <w:rsid w:val="00B054CC"/>
    <w:rsid w:val="00B1188F"/>
    <w:rsid w:val="00B122CB"/>
    <w:rsid w:val="00B14D2F"/>
    <w:rsid w:val="00B16172"/>
    <w:rsid w:val="00B16D8F"/>
    <w:rsid w:val="00B22B5C"/>
    <w:rsid w:val="00B263CE"/>
    <w:rsid w:val="00B30AA3"/>
    <w:rsid w:val="00B31E61"/>
    <w:rsid w:val="00B51D86"/>
    <w:rsid w:val="00B54EB2"/>
    <w:rsid w:val="00B70F66"/>
    <w:rsid w:val="00B71543"/>
    <w:rsid w:val="00B87E3C"/>
    <w:rsid w:val="00B87F16"/>
    <w:rsid w:val="00B94F8A"/>
    <w:rsid w:val="00BA3648"/>
    <w:rsid w:val="00BB7C9E"/>
    <w:rsid w:val="00BC00E7"/>
    <w:rsid w:val="00BC1B55"/>
    <w:rsid w:val="00BC312C"/>
    <w:rsid w:val="00BD1707"/>
    <w:rsid w:val="00BD3A70"/>
    <w:rsid w:val="00BE2786"/>
    <w:rsid w:val="00BE2F44"/>
    <w:rsid w:val="00BF048D"/>
    <w:rsid w:val="00BF22B1"/>
    <w:rsid w:val="00BF2EFC"/>
    <w:rsid w:val="00C05C50"/>
    <w:rsid w:val="00C30096"/>
    <w:rsid w:val="00C30205"/>
    <w:rsid w:val="00C36258"/>
    <w:rsid w:val="00C47F4E"/>
    <w:rsid w:val="00C5370B"/>
    <w:rsid w:val="00C62DA3"/>
    <w:rsid w:val="00C65CCE"/>
    <w:rsid w:val="00C71266"/>
    <w:rsid w:val="00C71667"/>
    <w:rsid w:val="00C823D5"/>
    <w:rsid w:val="00C8684A"/>
    <w:rsid w:val="00C86DB5"/>
    <w:rsid w:val="00C9017E"/>
    <w:rsid w:val="00C922AD"/>
    <w:rsid w:val="00C93D30"/>
    <w:rsid w:val="00C9477C"/>
    <w:rsid w:val="00C963D2"/>
    <w:rsid w:val="00C9714E"/>
    <w:rsid w:val="00CA2A36"/>
    <w:rsid w:val="00CA7011"/>
    <w:rsid w:val="00CC51B4"/>
    <w:rsid w:val="00CC6E3E"/>
    <w:rsid w:val="00CD2195"/>
    <w:rsid w:val="00CE66D8"/>
    <w:rsid w:val="00CF085B"/>
    <w:rsid w:val="00CF349C"/>
    <w:rsid w:val="00CF7493"/>
    <w:rsid w:val="00D045C8"/>
    <w:rsid w:val="00D12A64"/>
    <w:rsid w:val="00D149F4"/>
    <w:rsid w:val="00D252DF"/>
    <w:rsid w:val="00D254C0"/>
    <w:rsid w:val="00D404A6"/>
    <w:rsid w:val="00D46A79"/>
    <w:rsid w:val="00D473F0"/>
    <w:rsid w:val="00D57143"/>
    <w:rsid w:val="00D62448"/>
    <w:rsid w:val="00D63AED"/>
    <w:rsid w:val="00D7784F"/>
    <w:rsid w:val="00D77EA4"/>
    <w:rsid w:val="00D91ED3"/>
    <w:rsid w:val="00DA7468"/>
    <w:rsid w:val="00DB0C48"/>
    <w:rsid w:val="00DB7034"/>
    <w:rsid w:val="00DC1986"/>
    <w:rsid w:val="00DC3D28"/>
    <w:rsid w:val="00DD5A6C"/>
    <w:rsid w:val="00DE37CA"/>
    <w:rsid w:val="00DE6300"/>
    <w:rsid w:val="00DF0CAF"/>
    <w:rsid w:val="00DF2151"/>
    <w:rsid w:val="00DF3165"/>
    <w:rsid w:val="00E1034B"/>
    <w:rsid w:val="00E146DD"/>
    <w:rsid w:val="00E16D29"/>
    <w:rsid w:val="00E24ADA"/>
    <w:rsid w:val="00E35F9F"/>
    <w:rsid w:val="00E362B9"/>
    <w:rsid w:val="00E36966"/>
    <w:rsid w:val="00E553FE"/>
    <w:rsid w:val="00E74C3F"/>
    <w:rsid w:val="00E757C0"/>
    <w:rsid w:val="00E80807"/>
    <w:rsid w:val="00E86A26"/>
    <w:rsid w:val="00E8782D"/>
    <w:rsid w:val="00E87B60"/>
    <w:rsid w:val="00E87C22"/>
    <w:rsid w:val="00E90B02"/>
    <w:rsid w:val="00E93F44"/>
    <w:rsid w:val="00EB0959"/>
    <w:rsid w:val="00EB0E2E"/>
    <w:rsid w:val="00EB3368"/>
    <w:rsid w:val="00EB69F8"/>
    <w:rsid w:val="00ED5FB3"/>
    <w:rsid w:val="00EE039E"/>
    <w:rsid w:val="00EE533A"/>
    <w:rsid w:val="00EF4C15"/>
    <w:rsid w:val="00F02327"/>
    <w:rsid w:val="00F06450"/>
    <w:rsid w:val="00F069D2"/>
    <w:rsid w:val="00F10D01"/>
    <w:rsid w:val="00F11635"/>
    <w:rsid w:val="00F20566"/>
    <w:rsid w:val="00F301C3"/>
    <w:rsid w:val="00F405CB"/>
    <w:rsid w:val="00F43835"/>
    <w:rsid w:val="00F44E1B"/>
    <w:rsid w:val="00F50DFF"/>
    <w:rsid w:val="00F67DBB"/>
    <w:rsid w:val="00F77C1B"/>
    <w:rsid w:val="00F83479"/>
    <w:rsid w:val="00F83722"/>
    <w:rsid w:val="00F930D9"/>
    <w:rsid w:val="00F95859"/>
    <w:rsid w:val="00FB02F9"/>
    <w:rsid w:val="00FB1FD9"/>
    <w:rsid w:val="00FB593B"/>
    <w:rsid w:val="00FD2976"/>
    <w:rsid w:val="00FD2C63"/>
    <w:rsid w:val="00FE4600"/>
    <w:rsid w:val="00FE49E4"/>
    <w:rsid w:val="00FE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2D59"/>
  <w15:chartTrackingRefBased/>
  <w15:docId w15:val="{7700223E-8583-43BA-8490-C9A5B078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51">
    <w:name w:val="Light List - Accent 51"/>
    <w:basedOn w:val="TableNormal"/>
    <w:next w:val="LightList-Accent5"/>
    <w:uiPriority w:val="61"/>
    <w:rsid w:val="008258D1"/>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themeColor="background1"/>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8258D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Header">
    <w:name w:val="header"/>
    <w:basedOn w:val="Normal"/>
    <w:link w:val="HeaderChar"/>
    <w:uiPriority w:val="99"/>
    <w:unhideWhenUsed/>
    <w:rsid w:val="00F1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01"/>
  </w:style>
  <w:style w:type="paragraph" w:styleId="Footer">
    <w:name w:val="footer"/>
    <w:basedOn w:val="Normal"/>
    <w:link w:val="FooterChar"/>
    <w:uiPriority w:val="99"/>
    <w:unhideWhenUsed/>
    <w:rsid w:val="00F1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01"/>
  </w:style>
  <w:style w:type="paragraph" w:styleId="ListParagraph">
    <w:name w:val="List Paragraph"/>
    <w:basedOn w:val="Normal"/>
    <w:uiPriority w:val="34"/>
    <w:qFormat/>
    <w:rsid w:val="00535E8F"/>
    <w:pPr>
      <w:ind w:left="720"/>
      <w:contextualSpacing/>
    </w:pPr>
  </w:style>
  <w:style w:type="character" w:styleId="CommentReference">
    <w:name w:val="annotation reference"/>
    <w:basedOn w:val="DefaultParagraphFont"/>
    <w:uiPriority w:val="99"/>
    <w:semiHidden/>
    <w:unhideWhenUsed/>
    <w:rsid w:val="00A051B2"/>
    <w:rPr>
      <w:sz w:val="16"/>
      <w:szCs w:val="16"/>
    </w:rPr>
  </w:style>
  <w:style w:type="paragraph" w:styleId="CommentText">
    <w:name w:val="annotation text"/>
    <w:basedOn w:val="Normal"/>
    <w:link w:val="CommentTextChar"/>
    <w:uiPriority w:val="99"/>
    <w:unhideWhenUsed/>
    <w:rsid w:val="00A051B2"/>
    <w:pPr>
      <w:spacing w:line="240" w:lineRule="auto"/>
    </w:pPr>
    <w:rPr>
      <w:sz w:val="20"/>
      <w:szCs w:val="20"/>
    </w:rPr>
  </w:style>
  <w:style w:type="character" w:customStyle="1" w:styleId="CommentTextChar">
    <w:name w:val="Comment Text Char"/>
    <w:basedOn w:val="DefaultParagraphFont"/>
    <w:link w:val="CommentText"/>
    <w:uiPriority w:val="99"/>
    <w:rsid w:val="00A051B2"/>
    <w:rPr>
      <w:sz w:val="20"/>
      <w:szCs w:val="20"/>
    </w:rPr>
  </w:style>
  <w:style w:type="paragraph" w:styleId="CommentSubject">
    <w:name w:val="annotation subject"/>
    <w:basedOn w:val="CommentText"/>
    <w:next w:val="CommentText"/>
    <w:link w:val="CommentSubjectChar"/>
    <w:uiPriority w:val="99"/>
    <w:semiHidden/>
    <w:unhideWhenUsed/>
    <w:rsid w:val="00A051B2"/>
    <w:rPr>
      <w:b/>
      <w:bCs/>
    </w:rPr>
  </w:style>
  <w:style w:type="character" w:customStyle="1" w:styleId="CommentSubjectChar">
    <w:name w:val="Comment Subject Char"/>
    <w:basedOn w:val="CommentTextChar"/>
    <w:link w:val="CommentSubject"/>
    <w:uiPriority w:val="99"/>
    <w:semiHidden/>
    <w:rsid w:val="00A051B2"/>
    <w:rPr>
      <w:b/>
      <w:bCs/>
      <w:sz w:val="20"/>
      <w:szCs w:val="20"/>
    </w:rPr>
  </w:style>
  <w:style w:type="paragraph" w:styleId="BalloonText">
    <w:name w:val="Balloon Text"/>
    <w:basedOn w:val="Normal"/>
    <w:link w:val="BalloonTextChar"/>
    <w:uiPriority w:val="99"/>
    <w:semiHidden/>
    <w:unhideWhenUsed/>
    <w:rsid w:val="00A05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B2"/>
    <w:rPr>
      <w:rFonts w:ascii="Segoe UI" w:hAnsi="Segoe UI" w:cs="Segoe UI"/>
      <w:sz w:val="18"/>
      <w:szCs w:val="18"/>
    </w:rPr>
  </w:style>
  <w:style w:type="character" w:styleId="Hyperlink">
    <w:name w:val="Hyperlink"/>
    <w:basedOn w:val="DefaultParagraphFont"/>
    <w:uiPriority w:val="99"/>
    <w:unhideWhenUsed/>
    <w:rsid w:val="0053571B"/>
    <w:rPr>
      <w:color w:val="0563C1" w:themeColor="hyperlink"/>
      <w:u w:val="single"/>
    </w:rPr>
  </w:style>
  <w:style w:type="character" w:styleId="FollowedHyperlink">
    <w:name w:val="FollowedHyperlink"/>
    <w:basedOn w:val="DefaultParagraphFont"/>
    <w:uiPriority w:val="99"/>
    <w:semiHidden/>
    <w:unhideWhenUsed/>
    <w:rsid w:val="00223E4D"/>
    <w:rPr>
      <w:color w:val="954F72" w:themeColor="followedHyperlink"/>
      <w:u w:val="single"/>
    </w:rPr>
  </w:style>
  <w:style w:type="paragraph" w:styleId="Revision">
    <w:name w:val="Revision"/>
    <w:hidden/>
    <w:uiPriority w:val="99"/>
    <w:semiHidden/>
    <w:rsid w:val="00C86DB5"/>
    <w:pPr>
      <w:spacing w:after="0" w:line="240" w:lineRule="auto"/>
    </w:pPr>
  </w:style>
  <w:style w:type="character" w:styleId="UnresolvedMention">
    <w:name w:val="Unresolved Mention"/>
    <w:basedOn w:val="DefaultParagraphFont"/>
    <w:uiPriority w:val="99"/>
    <w:semiHidden/>
    <w:unhideWhenUsed/>
    <w:rsid w:val="007E1AB6"/>
    <w:rPr>
      <w:color w:val="605E5C"/>
      <w:shd w:val="clear" w:color="auto" w:fill="E1DFDD"/>
    </w:rPr>
  </w:style>
  <w:style w:type="paragraph" w:styleId="NormalWeb">
    <w:name w:val="Normal (Web)"/>
    <w:basedOn w:val="Normal"/>
    <w:uiPriority w:val="99"/>
    <w:unhideWhenUsed/>
    <w:rsid w:val="00D62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766">
      <w:bodyDiv w:val="1"/>
      <w:marLeft w:val="0"/>
      <w:marRight w:val="0"/>
      <w:marTop w:val="0"/>
      <w:marBottom w:val="0"/>
      <w:divBdr>
        <w:top w:val="none" w:sz="0" w:space="0" w:color="auto"/>
        <w:left w:val="none" w:sz="0" w:space="0" w:color="auto"/>
        <w:bottom w:val="none" w:sz="0" w:space="0" w:color="auto"/>
        <w:right w:val="none" w:sz="0" w:space="0" w:color="auto"/>
      </w:divBdr>
    </w:div>
    <w:div w:id="535969055">
      <w:bodyDiv w:val="1"/>
      <w:marLeft w:val="0"/>
      <w:marRight w:val="0"/>
      <w:marTop w:val="0"/>
      <w:marBottom w:val="0"/>
      <w:divBdr>
        <w:top w:val="none" w:sz="0" w:space="0" w:color="auto"/>
        <w:left w:val="none" w:sz="0" w:space="0" w:color="auto"/>
        <w:bottom w:val="none" w:sz="0" w:space="0" w:color="auto"/>
        <w:right w:val="none" w:sz="0" w:space="0" w:color="auto"/>
      </w:divBdr>
    </w:div>
    <w:div w:id="588582502">
      <w:bodyDiv w:val="1"/>
      <w:marLeft w:val="0"/>
      <w:marRight w:val="0"/>
      <w:marTop w:val="0"/>
      <w:marBottom w:val="0"/>
      <w:divBdr>
        <w:top w:val="none" w:sz="0" w:space="0" w:color="auto"/>
        <w:left w:val="none" w:sz="0" w:space="0" w:color="auto"/>
        <w:bottom w:val="none" w:sz="0" w:space="0" w:color="auto"/>
        <w:right w:val="none" w:sz="0" w:space="0" w:color="auto"/>
      </w:divBdr>
    </w:div>
    <w:div w:id="650452191">
      <w:bodyDiv w:val="1"/>
      <w:marLeft w:val="0"/>
      <w:marRight w:val="0"/>
      <w:marTop w:val="0"/>
      <w:marBottom w:val="0"/>
      <w:divBdr>
        <w:top w:val="none" w:sz="0" w:space="0" w:color="auto"/>
        <w:left w:val="none" w:sz="0" w:space="0" w:color="auto"/>
        <w:bottom w:val="none" w:sz="0" w:space="0" w:color="auto"/>
        <w:right w:val="none" w:sz="0" w:space="0" w:color="auto"/>
      </w:divBdr>
    </w:div>
    <w:div w:id="10226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hp.org/professional-development/residency-information/residency-program-resources/residency-accreditation/applying-for-accreditation?loginreturnUrl=SSOCheckOnly" TargetMode="External"/><Relationship Id="rId18" Type="http://schemas.openxmlformats.org/officeDocument/2006/relationships/hyperlink" Target="https://www.ashp.org/professional-development/residency-information/residency-program-resources/residency-accreditation/residency-accreditation-survey-readin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shp.org/professional-development/residency-information/residency-program-resources/residency-accreditation/applying-for-accreditation?loginreturnUrl=SSOCheckOnly" TargetMode="External"/><Relationship Id="rId17" Type="http://schemas.openxmlformats.org/officeDocument/2006/relationships/hyperlink" Target="https://www.ashp.org/professional-development/residency-information/residency-program-resources/residency-accreditation/residency-accreditation-survey-readiness" TargetMode="External"/><Relationship Id="rId2" Type="http://schemas.openxmlformats.org/officeDocument/2006/relationships/customXml" Target="../customXml/item2.xml"/><Relationship Id="rId16" Type="http://schemas.openxmlformats.org/officeDocument/2006/relationships/hyperlink" Target="https://www.ashp.org/professional-development/residency-information/residency-program-resources/residency-accreditation/residency-accreditation-survey-readiness" TargetMode="External"/><Relationship Id="rId20" Type="http://schemas.openxmlformats.org/officeDocument/2006/relationships/hyperlink" Target="https://www.ashp.org/professional-development/residency-information/residency-program-resources/residency-accreditation/residency-accreditation-survey-read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hp.org/professional-development/residency-information/residency-program-resources/residency-accreditation/residency-accreditation-survey-readiness" TargetMode="External"/><Relationship Id="rId5" Type="http://schemas.openxmlformats.org/officeDocument/2006/relationships/styles" Target="styles.xml"/><Relationship Id="rId15" Type="http://schemas.openxmlformats.org/officeDocument/2006/relationships/hyperlink" Target="https://www.ashp.org/professional-development/residency-information/residency-program-resources/residency-accreditation/residency-accreditation-survey-readines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ashp.org/professional-development/residency-information/residency-program-resources/residency-accreditation/residency-accreditation-survey-readi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hp.org/professional-development/residency-information/residency-program-resources/residency-accreditation/applying-for-accreditation?loginreturnUrl=SSOCheckOn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52873-50b9-4c55-abf9-2b0361e782a0" xsi:nil="true"/>
    <lcf76f155ced4ddcb4097134ff3c332f xmlns="0aad2e31-70b9-4b1e-aea9-ff51fbaacb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D274CF1490544DA71C0DC609794855" ma:contentTypeVersion="17" ma:contentTypeDescription="Create a new document." ma:contentTypeScope="" ma:versionID="9bf82a104ab0a0f90f93db087ab2b1df">
  <xsd:schema xmlns:xsd="http://www.w3.org/2001/XMLSchema" xmlns:xs="http://www.w3.org/2001/XMLSchema" xmlns:p="http://schemas.microsoft.com/office/2006/metadata/properties" xmlns:ns2="0aad2e31-70b9-4b1e-aea9-ff51fbaacb7b" xmlns:ns3="53a52873-50b9-4c55-abf9-2b0361e782a0" targetNamespace="http://schemas.microsoft.com/office/2006/metadata/properties" ma:root="true" ma:fieldsID="77477972376753d7e76e8acb94ddb187" ns2:_="" ns3:_="">
    <xsd:import namespace="0aad2e31-70b9-4b1e-aea9-ff51fbaacb7b"/>
    <xsd:import namespace="53a52873-50b9-4c55-abf9-2b0361e78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2e31-70b9-4b1e-aea9-ff51fbaa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52873-50b9-4c55-abf9-2b0361e782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cc193-3a9b-4aca-83cb-4d7bb0f208dd}" ma:internalName="TaxCatchAll" ma:showField="CatchAllData" ma:web="53a52873-50b9-4c55-abf9-2b0361e78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5E018-A838-48D9-8E7C-33DBE868C463}">
  <ds:schemaRefs>
    <ds:schemaRef ds:uri="http://schemas.microsoft.com/office/2006/metadata/properties"/>
    <ds:schemaRef ds:uri="http://schemas.microsoft.com/office/infopath/2007/PartnerControls"/>
    <ds:schemaRef ds:uri="53a52873-50b9-4c55-abf9-2b0361e782a0"/>
    <ds:schemaRef ds:uri="0aad2e31-70b9-4b1e-aea9-ff51fbaacb7b"/>
  </ds:schemaRefs>
</ds:datastoreItem>
</file>

<file path=customXml/itemProps2.xml><?xml version="1.0" encoding="utf-8"?>
<ds:datastoreItem xmlns:ds="http://schemas.openxmlformats.org/officeDocument/2006/customXml" ds:itemID="{BA482AFD-FD4A-4B26-B549-4DA97217B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2e31-70b9-4b1e-aea9-ff51fbaacb7b"/>
    <ds:schemaRef ds:uri="53a52873-50b9-4c55-abf9-2b0361e7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7C409-8D1E-410A-829B-BB42D9B15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Julie Dagam</cp:lastModifiedBy>
  <cp:revision>28</cp:revision>
  <dcterms:created xsi:type="dcterms:W3CDTF">2025-02-10T15:47:00Z</dcterms:created>
  <dcterms:modified xsi:type="dcterms:W3CDTF">2025-02-21T14:51:00Z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0x01010020D274CF1490544DA71C0DC609794855</vt:lpwstr>
  </property>
</Properties>
</file>